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3A7A" w14:textId="15355949" w:rsidR="00E8506E" w:rsidRPr="00E8506E" w:rsidRDefault="00E8506E" w:rsidP="00E8506E">
      <w:pPr>
        <w:bidi/>
        <w:spacing w:line="259" w:lineRule="auto"/>
        <w:jc w:val="center"/>
        <w:rPr>
          <w:rFonts w:asciiTheme="majorBidi" w:eastAsia="Calibri" w:hAnsiTheme="majorBidi" w:cstheme="majorBidi"/>
          <w:b/>
          <w:bCs/>
          <w:i/>
          <w:iCs/>
          <w:sz w:val="28"/>
          <w:szCs w:val="28"/>
          <w:lang w:val="en-GB"/>
        </w:rPr>
      </w:pPr>
      <w:r w:rsidRPr="00E8506E">
        <w:rPr>
          <w:rFonts w:asciiTheme="majorBidi" w:eastAsia="Calibri" w:hAnsiTheme="majorBidi" w:cstheme="majorBidi"/>
          <w:b/>
          <w:bCs/>
          <w:i/>
          <w:iCs/>
          <w:sz w:val="28"/>
          <w:szCs w:val="28"/>
          <w:lang w:val="en-GB"/>
        </w:rPr>
        <w:drawing>
          <wp:inline distT="0" distB="0" distL="0" distR="0" wp14:anchorId="6AE6C0F0" wp14:editId="4EF337A7">
            <wp:extent cx="2202180" cy="1844040"/>
            <wp:effectExtent l="0" t="0" r="0" b="0"/>
            <wp:docPr id="90407158" name="Picture 4"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7158" name="Picture 4" descr="A logo with text and symbols&#10;&#10;AI-generated content may be incorrec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02180" cy="1844040"/>
                    </a:xfrm>
                    <a:prstGeom prst="rect">
                      <a:avLst/>
                    </a:prstGeom>
                    <a:noFill/>
                    <a:ln>
                      <a:noFill/>
                    </a:ln>
                  </pic:spPr>
                </pic:pic>
              </a:graphicData>
            </a:graphic>
          </wp:inline>
        </w:drawing>
      </w:r>
    </w:p>
    <w:p w14:paraId="6CFA3C06" w14:textId="77777777" w:rsidR="00E8506E" w:rsidRPr="00E8506E" w:rsidRDefault="00E8506E" w:rsidP="00E8506E">
      <w:pPr>
        <w:bidi/>
        <w:spacing w:line="259" w:lineRule="auto"/>
        <w:jc w:val="center"/>
        <w:rPr>
          <w:rFonts w:asciiTheme="majorBidi" w:eastAsia="Calibri" w:hAnsiTheme="majorBidi" w:cstheme="majorBidi"/>
          <w:b/>
          <w:bCs/>
          <w:i/>
          <w:iCs/>
          <w:sz w:val="28"/>
          <w:szCs w:val="28"/>
          <w:rtl/>
          <w:lang w:bidi="ar-YE"/>
        </w:rPr>
      </w:pPr>
    </w:p>
    <w:p w14:paraId="56DDACFC" w14:textId="77777777" w:rsidR="00E8506E" w:rsidRPr="00E8506E" w:rsidRDefault="00E8506E" w:rsidP="00E8506E">
      <w:pPr>
        <w:bidi/>
        <w:spacing w:line="259" w:lineRule="auto"/>
        <w:jc w:val="center"/>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العضو الاستشاري لدى المجلس الاقتصادي والاجتماعي التابع للأمم المتحدة</w:t>
      </w:r>
    </w:p>
    <w:p w14:paraId="114234AA" w14:textId="77777777" w:rsidR="00E8506E" w:rsidRPr="00E8506E" w:rsidRDefault="00E8506E" w:rsidP="00E8506E">
      <w:pPr>
        <w:bidi/>
        <w:spacing w:line="259" w:lineRule="auto"/>
        <w:jc w:val="center"/>
        <w:rPr>
          <w:rFonts w:asciiTheme="majorBidi" w:eastAsia="Calibri" w:hAnsiTheme="majorBidi" w:cstheme="majorBidi"/>
          <w:b/>
          <w:bCs/>
          <w:sz w:val="28"/>
          <w:szCs w:val="28"/>
          <w:lang w:val="en-GB"/>
        </w:rPr>
      </w:pPr>
    </w:p>
    <w:p w14:paraId="33EB0D90" w14:textId="77777777" w:rsidR="00E8506E" w:rsidRPr="00E8506E" w:rsidRDefault="00E8506E" w:rsidP="00E8506E">
      <w:pPr>
        <w:bidi/>
        <w:spacing w:line="259" w:lineRule="auto"/>
        <w:jc w:val="center"/>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ورقة موقف لمركز إعلام حقوق الإنسان والديمقراطية "شمس"</w:t>
      </w:r>
    </w:p>
    <w:p w14:paraId="5B7422CE" w14:textId="77777777" w:rsidR="00E8506E" w:rsidRPr="00E8506E" w:rsidRDefault="00E8506E" w:rsidP="00E8506E">
      <w:pPr>
        <w:bidi/>
        <w:spacing w:line="259" w:lineRule="auto"/>
        <w:jc w:val="center"/>
        <w:rPr>
          <w:rFonts w:asciiTheme="majorBidi" w:eastAsia="Calibri" w:hAnsiTheme="majorBidi" w:cstheme="majorBidi"/>
          <w:b/>
          <w:bCs/>
          <w:sz w:val="28"/>
          <w:szCs w:val="28"/>
          <w:rtl/>
        </w:rPr>
      </w:pPr>
    </w:p>
    <w:p w14:paraId="621417D6" w14:textId="41A1A3D1" w:rsidR="00E8506E" w:rsidRPr="00E8506E" w:rsidRDefault="00E8506E" w:rsidP="00E8506E">
      <w:pPr>
        <w:bidi/>
        <w:spacing w:line="259" w:lineRule="auto"/>
        <w:jc w:val="center"/>
        <w:rPr>
          <w:rFonts w:asciiTheme="majorBidi" w:eastAsia="Calibri" w:hAnsiTheme="majorBidi" w:cstheme="majorBidi"/>
          <w:sz w:val="28"/>
          <w:szCs w:val="28"/>
        </w:rPr>
      </w:pPr>
      <w:r w:rsidRPr="00E8506E">
        <w:rPr>
          <w:rFonts w:asciiTheme="majorBidi" w:eastAsia="Calibri" w:hAnsiTheme="majorBidi" w:cstheme="majorBidi"/>
          <w:b/>
          <w:bCs/>
          <w:sz w:val="28"/>
          <w:szCs w:val="28"/>
          <w:rtl/>
        </w:rPr>
        <w:t>الاعتقال الإداري: تقويض للعدالة وانتهاك جسيم للقانون الدولي ولحقوق الإنسان</w:t>
      </w:r>
    </w:p>
    <w:p w14:paraId="25D82B23" w14:textId="7116654F" w:rsidR="00E8506E" w:rsidRPr="00E8506E" w:rsidRDefault="00E8506E" w:rsidP="00E8506E">
      <w:pPr>
        <w:bidi/>
        <w:spacing w:line="259" w:lineRule="auto"/>
        <w:jc w:val="center"/>
        <w:rPr>
          <w:rFonts w:asciiTheme="majorBidi" w:eastAsia="Calibri" w:hAnsiTheme="majorBidi" w:cstheme="majorBidi"/>
          <w:b/>
          <w:bCs/>
          <w:sz w:val="28"/>
          <w:szCs w:val="28"/>
          <w:rtl/>
        </w:rPr>
      </w:pPr>
      <w:r w:rsidRPr="00E8506E">
        <w:rPr>
          <w:rFonts w:asciiTheme="majorBidi" w:eastAsia="Calibri" w:hAnsiTheme="majorBidi" w:cstheme="majorBidi"/>
          <w:sz w:val="28"/>
          <w:szCs w:val="28"/>
          <w:lang w:val="en-GB"/>
        </w:rPr>
        <w:drawing>
          <wp:inline distT="0" distB="0" distL="0" distR="0" wp14:anchorId="31849AC5" wp14:editId="2EE62A58">
            <wp:extent cx="2857500" cy="3604846"/>
            <wp:effectExtent l="0" t="0" r="0" b="0"/>
            <wp:docPr id="657419728" name="Picture 3" descr="A person holding his hands chained to hi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19728" name="Picture 3" descr="A person holding his hands chained to his hea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859825" cy="3607779"/>
                    </a:xfrm>
                    <a:prstGeom prst="rect">
                      <a:avLst/>
                    </a:prstGeom>
                    <a:noFill/>
                    <a:ln>
                      <a:noFill/>
                    </a:ln>
                  </pic:spPr>
                </pic:pic>
              </a:graphicData>
            </a:graphic>
          </wp:inline>
        </w:drawing>
      </w:r>
    </w:p>
    <w:p w14:paraId="70FBAF89" w14:textId="77777777" w:rsidR="00E8506E" w:rsidRPr="00E8506E" w:rsidRDefault="00E8506E" w:rsidP="00E8506E">
      <w:pPr>
        <w:bidi/>
        <w:spacing w:line="259" w:lineRule="auto"/>
        <w:jc w:val="center"/>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رام الله</w:t>
      </w:r>
    </w:p>
    <w:p w14:paraId="028A021A" w14:textId="77777777" w:rsidR="00E8506E" w:rsidRPr="00E8506E" w:rsidRDefault="00E8506E" w:rsidP="00E8506E">
      <w:pPr>
        <w:bidi/>
        <w:spacing w:line="259" w:lineRule="auto"/>
        <w:jc w:val="center"/>
        <w:rPr>
          <w:rFonts w:asciiTheme="majorBidi" w:eastAsia="Calibri" w:hAnsiTheme="majorBidi" w:cstheme="majorBidi"/>
          <w:sz w:val="28"/>
          <w:szCs w:val="28"/>
          <w:rtl/>
        </w:rPr>
      </w:pPr>
      <w:r w:rsidRPr="00E8506E">
        <w:rPr>
          <w:rFonts w:asciiTheme="majorBidi" w:eastAsia="Calibri" w:hAnsiTheme="majorBidi" w:cstheme="majorBidi"/>
          <w:sz w:val="28"/>
          <w:szCs w:val="28"/>
          <w:rtl/>
        </w:rPr>
        <w:t>1/7/2025</w:t>
      </w:r>
    </w:p>
    <w:p w14:paraId="037F3F25" w14:textId="77777777" w:rsidR="00E8506E" w:rsidRPr="00E8506E" w:rsidRDefault="00E8506E" w:rsidP="00E8506E">
      <w:pPr>
        <w:bidi/>
        <w:spacing w:line="259" w:lineRule="auto"/>
        <w:jc w:val="center"/>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lastRenderedPageBreak/>
        <w:t>الفهرس</w:t>
      </w:r>
    </w:p>
    <w:p w14:paraId="43A61B8D" w14:textId="77777777" w:rsidR="00E8506E" w:rsidRPr="00E8506E" w:rsidRDefault="00E8506E" w:rsidP="00E8506E">
      <w:pPr>
        <w:bidi/>
        <w:spacing w:line="259" w:lineRule="auto"/>
        <w:rPr>
          <w:rFonts w:asciiTheme="majorBidi" w:eastAsia="Calibri" w:hAnsiTheme="majorBidi" w:cstheme="majorBidi"/>
          <w:b/>
          <w:bCs/>
          <w:sz w:val="28"/>
          <w:szCs w:val="28"/>
          <w:rtl/>
        </w:rPr>
      </w:pPr>
    </w:p>
    <w:p w14:paraId="567BC807" w14:textId="77777777" w:rsidR="00E8506E" w:rsidRPr="00E8506E" w:rsidRDefault="00E8506E" w:rsidP="00E8506E">
      <w:pPr>
        <w:bidi/>
        <w:spacing w:line="259" w:lineRule="auto"/>
        <w:rPr>
          <w:rFonts w:asciiTheme="majorBidi" w:eastAsia="Calibri" w:hAnsiTheme="majorBidi" w:cstheme="majorBidi"/>
          <w:b/>
          <w:bCs/>
          <w:sz w:val="28"/>
          <w:szCs w:val="28"/>
          <w:rtl/>
        </w:rPr>
      </w:pPr>
    </w:p>
    <w:tbl>
      <w:tblPr>
        <w:tblStyle w:val="TableGrid"/>
        <w:bidiVisual/>
        <w:tblW w:w="8541" w:type="dxa"/>
        <w:tblLook w:val="01E0" w:firstRow="1" w:lastRow="1" w:firstColumn="1" w:lastColumn="1" w:noHBand="0" w:noVBand="0"/>
      </w:tblPr>
      <w:tblGrid>
        <w:gridCol w:w="731"/>
        <w:gridCol w:w="6710"/>
        <w:gridCol w:w="1100"/>
      </w:tblGrid>
      <w:tr w:rsidR="00E8506E" w:rsidRPr="00E8506E" w14:paraId="4EA945CD" w14:textId="77777777" w:rsidTr="00E8506E">
        <w:tc>
          <w:tcPr>
            <w:tcW w:w="731" w:type="dxa"/>
            <w:tcBorders>
              <w:top w:val="single" w:sz="4" w:space="0" w:color="auto"/>
              <w:left w:val="single" w:sz="4" w:space="0" w:color="auto"/>
              <w:bottom w:val="single" w:sz="4" w:space="0" w:color="auto"/>
              <w:right w:val="single" w:sz="4" w:space="0" w:color="auto"/>
            </w:tcBorders>
            <w:hideMark/>
          </w:tcPr>
          <w:p w14:paraId="65B5A0F6"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 xml:space="preserve">الرقم </w:t>
            </w:r>
          </w:p>
        </w:tc>
        <w:tc>
          <w:tcPr>
            <w:tcW w:w="6710" w:type="dxa"/>
            <w:tcBorders>
              <w:top w:val="single" w:sz="4" w:space="0" w:color="auto"/>
              <w:left w:val="single" w:sz="4" w:space="0" w:color="auto"/>
              <w:bottom w:val="single" w:sz="4" w:space="0" w:color="auto"/>
              <w:right w:val="single" w:sz="4" w:space="0" w:color="auto"/>
            </w:tcBorders>
            <w:hideMark/>
          </w:tcPr>
          <w:p w14:paraId="03ECF734"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الموضوع</w:t>
            </w:r>
          </w:p>
        </w:tc>
        <w:tc>
          <w:tcPr>
            <w:tcW w:w="1100" w:type="dxa"/>
            <w:tcBorders>
              <w:top w:val="single" w:sz="4" w:space="0" w:color="auto"/>
              <w:left w:val="single" w:sz="4" w:space="0" w:color="auto"/>
              <w:bottom w:val="single" w:sz="4" w:space="0" w:color="auto"/>
              <w:right w:val="single" w:sz="4" w:space="0" w:color="auto"/>
            </w:tcBorders>
            <w:hideMark/>
          </w:tcPr>
          <w:p w14:paraId="34D446B4"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الصفحة</w:t>
            </w:r>
          </w:p>
        </w:tc>
      </w:tr>
      <w:tr w:rsidR="00E8506E" w:rsidRPr="00E8506E" w14:paraId="52F49E60" w14:textId="77777777" w:rsidTr="00E8506E">
        <w:tc>
          <w:tcPr>
            <w:tcW w:w="731" w:type="dxa"/>
            <w:tcBorders>
              <w:top w:val="single" w:sz="4" w:space="0" w:color="auto"/>
              <w:left w:val="single" w:sz="4" w:space="0" w:color="auto"/>
              <w:bottom w:val="single" w:sz="4" w:space="0" w:color="auto"/>
              <w:right w:val="single" w:sz="4" w:space="0" w:color="auto"/>
            </w:tcBorders>
          </w:tcPr>
          <w:p w14:paraId="4EE79E37"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26AD8E88"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المقدمة</w:t>
            </w:r>
          </w:p>
        </w:tc>
        <w:tc>
          <w:tcPr>
            <w:tcW w:w="1100" w:type="dxa"/>
            <w:tcBorders>
              <w:top w:val="single" w:sz="4" w:space="0" w:color="auto"/>
              <w:left w:val="single" w:sz="4" w:space="0" w:color="auto"/>
              <w:bottom w:val="single" w:sz="4" w:space="0" w:color="auto"/>
              <w:right w:val="single" w:sz="4" w:space="0" w:color="auto"/>
            </w:tcBorders>
            <w:hideMark/>
          </w:tcPr>
          <w:p w14:paraId="6B41B61E"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3</w:t>
            </w:r>
          </w:p>
        </w:tc>
      </w:tr>
      <w:tr w:rsidR="00E8506E" w:rsidRPr="00E8506E" w14:paraId="562C5432" w14:textId="77777777" w:rsidTr="00E8506E">
        <w:tc>
          <w:tcPr>
            <w:tcW w:w="731" w:type="dxa"/>
            <w:tcBorders>
              <w:top w:val="single" w:sz="4" w:space="0" w:color="auto"/>
              <w:left w:val="single" w:sz="4" w:space="0" w:color="auto"/>
              <w:bottom w:val="single" w:sz="4" w:space="0" w:color="auto"/>
              <w:right w:val="single" w:sz="4" w:space="0" w:color="auto"/>
            </w:tcBorders>
          </w:tcPr>
          <w:p w14:paraId="0D6C9DEC"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1AF3206F"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مفهوم الاعتقال الإداري في القانون الدولي</w:t>
            </w:r>
          </w:p>
        </w:tc>
        <w:tc>
          <w:tcPr>
            <w:tcW w:w="1100" w:type="dxa"/>
            <w:tcBorders>
              <w:top w:val="single" w:sz="4" w:space="0" w:color="auto"/>
              <w:left w:val="single" w:sz="4" w:space="0" w:color="auto"/>
              <w:bottom w:val="single" w:sz="4" w:space="0" w:color="auto"/>
              <w:right w:val="single" w:sz="4" w:space="0" w:color="auto"/>
            </w:tcBorders>
            <w:hideMark/>
          </w:tcPr>
          <w:p w14:paraId="7C2FF08D"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4</w:t>
            </w:r>
          </w:p>
        </w:tc>
      </w:tr>
      <w:tr w:rsidR="00E8506E" w:rsidRPr="00E8506E" w14:paraId="60AA8414" w14:textId="77777777" w:rsidTr="00E8506E">
        <w:tc>
          <w:tcPr>
            <w:tcW w:w="731" w:type="dxa"/>
            <w:tcBorders>
              <w:top w:val="single" w:sz="4" w:space="0" w:color="auto"/>
              <w:left w:val="single" w:sz="4" w:space="0" w:color="auto"/>
              <w:bottom w:val="single" w:sz="4" w:space="0" w:color="auto"/>
              <w:right w:val="single" w:sz="4" w:space="0" w:color="auto"/>
            </w:tcBorders>
          </w:tcPr>
          <w:p w14:paraId="7DA6EF7B"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083E426A"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إلغاء بريطانيا لقانون الطوارئ</w:t>
            </w:r>
          </w:p>
        </w:tc>
        <w:tc>
          <w:tcPr>
            <w:tcW w:w="1100" w:type="dxa"/>
            <w:tcBorders>
              <w:top w:val="single" w:sz="4" w:space="0" w:color="auto"/>
              <w:left w:val="single" w:sz="4" w:space="0" w:color="auto"/>
              <w:bottom w:val="single" w:sz="4" w:space="0" w:color="auto"/>
              <w:right w:val="single" w:sz="4" w:space="0" w:color="auto"/>
            </w:tcBorders>
            <w:hideMark/>
          </w:tcPr>
          <w:p w14:paraId="57869261"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4-5</w:t>
            </w:r>
          </w:p>
        </w:tc>
      </w:tr>
      <w:tr w:rsidR="00E8506E" w:rsidRPr="00E8506E" w14:paraId="1CBCAE4F" w14:textId="77777777" w:rsidTr="00E8506E">
        <w:tc>
          <w:tcPr>
            <w:tcW w:w="731" w:type="dxa"/>
            <w:tcBorders>
              <w:top w:val="single" w:sz="4" w:space="0" w:color="auto"/>
              <w:left w:val="single" w:sz="4" w:space="0" w:color="auto"/>
              <w:bottom w:val="single" w:sz="4" w:space="0" w:color="auto"/>
              <w:right w:val="single" w:sz="4" w:space="0" w:color="auto"/>
            </w:tcBorders>
          </w:tcPr>
          <w:p w14:paraId="0899E23D"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1288F203" w14:textId="77777777" w:rsidR="00E8506E" w:rsidRPr="00E8506E" w:rsidRDefault="00E8506E" w:rsidP="00E8506E">
            <w:pPr>
              <w:bidi/>
              <w:spacing w:after="160" w:line="259" w:lineRule="auto"/>
              <w:rPr>
                <w:rFonts w:asciiTheme="majorBidi" w:eastAsia="Calibri" w:hAnsiTheme="majorBidi" w:cstheme="majorBidi"/>
                <w:b/>
                <w:bCs/>
                <w:sz w:val="28"/>
                <w:szCs w:val="28"/>
                <w:rtl/>
                <w:lang w:bidi="ar-YE"/>
              </w:rPr>
            </w:pPr>
            <w:r w:rsidRPr="00E8506E">
              <w:rPr>
                <w:rFonts w:asciiTheme="majorBidi" w:eastAsia="Calibri" w:hAnsiTheme="majorBidi" w:cstheme="majorBidi"/>
                <w:b/>
                <w:bCs/>
                <w:sz w:val="28"/>
                <w:szCs w:val="28"/>
                <w:rtl/>
              </w:rPr>
              <w:t>الممارسات الإسرائيلية في الاعتقال الإداري بحق الفلسطينيين</w:t>
            </w:r>
          </w:p>
        </w:tc>
        <w:tc>
          <w:tcPr>
            <w:tcW w:w="1100" w:type="dxa"/>
            <w:tcBorders>
              <w:top w:val="single" w:sz="4" w:space="0" w:color="auto"/>
              <w:left w:val="single" w:sz="4" w:space="0" w:color="auto"/>
              <w:bottom w:val="single" w:sz="4" w:space="0" w:color="auto"/>
              <w:right w:val="single" w:sz="4" w:space="0" w:color="auto"/>
            </w:tcBorders>
            <w:hideMark/>
          </w:tcPr>
          <w:p w14:paraId="2AB92B3E"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5</w:t>
            </w:r>
          </w:p>
        </w:tc>
      </w:tr>
      <w:tr w:rsidR="00E8506E" w:rsidRPr="00E8506E" w14:paraId="149DD1F0" w14:textId="77777777" w:rsidTr="00E8506E">
        <w:tc>
          <w:tcPr>
            <w:tcW w:w="731" w:type="dxa"/>
            <w:tcBorders>
              <w:top w:val="single" w:sz="4" w:space="0" w:color="auto"/>
              <w:left w:val="single" w:sz="4" w:space="0" w:color="auto"/>
              <w:bottom w:val="single" w:sz="4" w:space="0" w:color="auto"/>
              <w:right w:val="single" w:sz="4" w:space="0" w:color="auto"/>
            </w:tcBorders>
          </w:tcPr>
          <w:p w14:paraId="0D77DCCD"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4A5E5E9E" w14:textId="77777777" w:rsidR="00E8506E" w:rsidRPr="00E8506E" w:rsidRDefault="00E8506E" w:rsidP="00E8506E">
            <w:pPr>
              <w:bidi/>
              <w:spacing w:after="160" w:line="259" w:lineRule="auto"/>
              <w:rPr>
                <w:rFonts w:asciiTheme="majorBidi" w:eastAsia="Calibri" w:hAnsiTheme="majorBidi" w:cstheme="majorBidi"/>
                <w:b/>
                <w:bCs/>
                <w:sz w:val="28"/>
                <w:szCs w:val="28"/>
                <w:rtl/>
                <w:lang w:bidi="ar-YE"/>
              </w:rPr>
            </w:pPr>
            <w:r w:rsidRPr="00E8506E">
              <w:rPr>
                <w:rFonts w:asciiTheme="majorBidi" w:eastAsia="Calibri" w:hAnsiTheme="majorBidi" w:cstheme="majorBidi"/>
                <w:b/>
                <w:bCs/>
                <w:sz w:val="28"/>
                <w:szCs w:val="28"/>
                <w:rtl/>
              </w:rPr>
              <w:t>الاعتقال الإداري كأداة للعقاب الجماعي والسيطرة السياسية</w:t>
            </w:r>
          </w:p>
        </w:tc>
        <w:tc>
          <w:tcPr>
            <w:tcW w:w="1100" w:type="dxa"/>
            <w:tcBorders>
              <w:top w:val="single" w:sz="4" w:space="0" w:color="auto"/>
              <w:left w:val="single" w:sz="4" w:space="0" w:color="auto"/>
              <w:bottom w:val="single" w:sz="4" w:space="0" w:color="auto"/>
              <w:right w:val="single" w:sz="4" w:space="0" w:color="auto"/>
            </w:tcBorders>
            <w:hideMark/>
          </w:tcPr>
          <w:p w14:paraId="2160AB71"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5</w:t>
            </w:r>
          </w:p>
        </w:tc>
      </w:tr>
      <w:tr w:rsidR="00E8506E" w:rsidRPr="00E8506E" w14:paraId="35F4DCB9" w14:textId="77777777" w:rsidTr="00E8506E">
        <w:tc>
          <w:tcPr>
            <w:tcW w:w="731" w:type="dxa"/>
            <w:tcBorders>
              <w:top w:val="single" w:sz="4" w:space="0" w:color="auto"/>
              <w:left w:val="single" w:sz="4" w:space="0" w:color="auto"/>
              <w:bottom w:val="single" w:sz="4" w:space="0" w:color="auto"/>
              <w:right w:val="single" w:sz="4" w:space="0" w:color="auto"/>
            </w:tcBorders>
          </w:tcPr>
          <w:p w14:paraId="058BAD65"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5A87C0ED"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انتهاك الاعتقال الإداري للمواثيق الدولية</w:t>
            </w:r>
          </w:p>
        </w:tc>
        <w:tc>
          <w:tcPr>
            <w:tcW w:w="1100" w:type="dxa"/>
            <w:tcBorders>
              <w:top w:val="single" w:sz="4" w:space="0" w:color="auto"/>
              <w:left w:val="single" w:sz="4" w:space="0" w:color="auto"/>
              <w:bottom w:val="single" w:sz="4" w:space="0" w:color="auto"/>
              <w:right w:val="single" w:sz="4" w:space="0" w:color="auto"/>
            </w:tcBorders>
            <w:hideMark/>
          </w:tcPr>
          <w:p w14:paraId="250117A5"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6</w:t>
            </w:r>
          </w:p>
        </w:tc>
      </w:tr>
      <w:tr w:rsidR="00E8506E" w:rsidRPr="00E8506E" w14:paraId="1C22E7B6" w14:textId="77777777" w:rsidTr="00E8506E">
        <w:tc>
          <w:tcPr>
            <w:tcW w:w="731" w:type="dxa"/>
            <w:tcBorders>
              <w:top w:val="single" w:sz="4" w:space="0" w:color="auto"/>
              <w:left w:val="single" w:sz="4" w:space="0" w:color="auto"/>
              <w:bottom w:val="single" w:sz="4" w:space="0" w:color="auto"/>
              <w:right w:val="single" w:sz="4" w:space="0" w:color="auto"/>
            </w:tcBorders>
          </w:tcPr>
          <w:p w14:paraId="0DC47F80"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tcPr>
          <w:p w14:paraId="465C0041"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أبعاد سياسة الاعتقال الإداري في ظل الاحتلال الإسرائيلي</w:t>
            </w:r>
          </w:p>
          <w:p w14:paraId="5282A4A4" w14:textId="77777777" w:rsidR="00E8506E" w:rsidRPr="00E8506E" w:rsidRDefault="00E8506E" w:rsidP="00E8506E">
            <w:pPr>
              <w:bidi/>
              <w:spacing w:after="160" w:line="259" w:lineRule="auto"/>
              <w:rPr>
                <w:rFonts w:asciiTheme="majorBidi" w:eastAsia="Calibri" w:hAnsiTheme="majorBidi" w:cstheme="majorBidi"/>
                <w:b/>
                <w:bCs/>
                <w:sz w:val="28"/>
                <w:szCs w:val="28"/>
              </w:rPr>
            </w:pPr>
          </w:p>
        </w:tc>
        <w:tc>
          <w:tcPr>
            <w:tcW w:w="1100" w:type="dxa"/>
            <w:tcBorders>
              <w:top w:val="single" w:sz="4" w:space="0" w:color="auto"/>
              <w:left w:val="single" w:sz="4" w:space="0" w:color="auto"/>
              <w:bottom w:val="single" w:sz="4" w:space="0" w:color="auto"/>
              <w:right w:val="single" w:sz="4" w:space="0" w:color="auto"/>
            </w:tcBorders>
            <w:hideMark/>
          </w:tcPr>
          <w:p w14:paraId="78F2F80C"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6</w:t>
            </w:r>
          </w:p>
        </w:tc>
      </w:tr>
      <w:tr w:rsidR="00E8506E" w:rsidRPr="00E8506E" w14:paraId="167694F7" w14:textId="77777777" w:rsidTr="00E8506E">
        <w:tc>
          <w:tcPr>
            <w:tcW w:w="731" w:type="dxa"/>
            <w:tcBorders>
              <w:top w:val="single" w:sz="4" w:space="0" w:color="auto"/>
              <w:left w:val="single" w:sz="4" w:space="0" w:color="auto"/>
              <w:bottom w:val="single" w:sz="4" w:space="0" w:color="auto"/>
              <w:right w:val="single" w:sz="4" w:space="0" w:color="auto"/>
            </w:tcBorders>
          </w:tcPr>
          <w:p w14:paraId="021FF4A2"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1EF89138"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موقف المجتمع الدولي والمطالبة بوقف الاعتقال الإداري</w:t>
            </w:r>
          </w:p>
        </w:tc>
        <w:tc>
          <w:tcPr>
            <w:tcW w:w="1100" w:type="dxa"/>
            <w:tcBorders>
              <w:top w:val="single" w:sz="4" w:space="0" w:color="auto"/>
              <w:left w:val="single" w:sz="4" w:space="0" w:color="auto"/>
              <w:bottom w:val="single" w:sz="4" w:space="0" w:color="auto"/>
              <w:right w:val="single" w:sz="4" w:space="0" w:color="auto"/>
            </w:tcBorders>
            <w:hideMark/>
          </w:tcPr>
          <w:p w14:paraId="40E7C4D2"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7</w:t>
            </w:r>
          </w:p>
        </w:tc>
      </w:tr>
      <w:tr w:rsidR="00E8506E" w:rsidRPr="00E8506E" w14:paraId="3415A9DA" w14:textId="77777777" w:rsidTr="00E8506E">
        <w:tc>
          <w:tcPr>
            <w:tcW w:w="731" w:type="dxa"/>
            <w:tcBorders>
              <w:top w:val="single" w:sz="4" w:space="0" w:color="auto"/>
              <w:left w:val="single" w:sz="4" w:space="0" w:color="auto"/>
              <w:bottom w:val="single" w:sz="4" w:space="0" w:color="auto"/>
              <w:right w:val="single" w:sz="4" w:space="0" w:color="auto"/>
            </w:tcBorders>
          </w:tcPr>
          <w:p w14:paraId="5E3D980D"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7BFF2022"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b/>
                <w:bCs/>
                <w:sz w:val="28"/>
                <w:szCs w:val="28"/>
                <w:rtl/>
              </w:rPr>
              <w:t>الأبعاد النفسية والاجتماعية لسياسة الاعتقال الإداري على المعتقلين الإداريين وذويهم</w:t>
            </w:r>
          </w:p>
        </w:tc>
        <w:tc>
          <w:tcPr>
            <w:tcW w:w="1100" w:type="dxa"/>
            <w:tcBorders>
              <w:top w:val="single" w:sz="4" w:space="0" w:color="auto"/>
              <w:left w:val="single" w:sz="4" w:space="0" w:color="auto"/>
              <w:bottom w:val="single" w:sz="4" w:space="0" w:color="auto"/>
              <w:right w:val="single" w:sz="4" w:space="0" w:color="auto"/>
            </w:tcBorders>
            <w:hideMark/>
          </w:tcPr>
          <w:p w14:paraId="0580AA65"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7-8</w:t>
            </w:r>
          </w:p>
        </w:tc>
      </w:tr>
      <w:tr w:rsidR="00E8506E" w:rsidRPr="00E8506E" w14:paraId="155561E4" w14:textId="77777777" w:rsidTr="00E8506E">
        <w:tc>
          <w:tcPr>
            <w:tcW w:w="731" w:type="dxa"/>
            <w:tcBorders>
              <w:top w:val="single" w:sz="4" w:space="0" w:color="auto"/>
              <w:left w:val="single" w:sz="4" w:space="0" w:color="auto"/>
              <w:bottom w:val="single" w:sz="4" w:space="0" w:color="auto"/>
              <w:right w:val="single" w:sz="4" w:space="0" w:color="auto"/>
            </w:tcBorders>
          </w:tcPr>
          <w:p w14:paraId="3E21DCC6"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341F63D5"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التوصيات</w:t>
            </w:r>
          </w:p>
        </w:tc>
        <w:tc>
          <w:tcPr>
            <w:tcW w:w="1100" w:type="dxa"/>
            <w:tcBorders>
              <w:top w:val="single" w:sz="4" w:space="0" w:color="auto"/>
              <w:left w:val="single" w:sz="4" w:space="0" w:color="auto"/>
              <w:bottom w:val="single" w:sz="4" w:space="0" w:color="auto"/>
              <w:right w:val="single" w:sz="4" w:space="0" w:color="auto"/>
            </w:tcBorders>
            <w:hideMark/>
          </w:tcPr>
          <w:p w14:paraId="3345BC4B"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9-10</w:t>
            </w:r>
          </w:p>
        </w:tc>
      </w:tr>
      <w:tr w:rsidR="00E8506E" w:rsidRPr="00E8506E" w14:paraId="799A97C0" w14:textId="77777777" w:rsidTr="00E8506E">
        <w:tc>
          <w:tcPr>
            <w:tcW w:w="731" w:type="dxa"/>
            <w:tcBorders>
              <w:top w:val="single" w:sz="4" w:space="0" w:color="auto"/>
              <w:left w:val="single" w:sz="4" w:space="0" w:color="auto"/>
              <w:bottom w:val="single" w:sz="4" w:space="0" w:color="auto"/>
              <w:right w:val="single" w:sz="4" w:space="0" w:color="auto"/>
            </w:tcBorders>
          </w:tcPr>
          <w:p w14:paraId="079916BD" w14:textId="77777777" w:rsidR="00E8506E" w:rsidRPr="00E8506E" w:rsidRDefault="00E8506E" w:rsidP="00E8506E">
            <w:pPr>
              <w:numPr>
                <w:ilvl w:val="0"/>
                <w:numId w:val="5"/>
              </w:numPr>
              <w:bidi/>
              <w:spacing w:after="160" w:line="259" w:lineRule="auto"/>
              <w:rPr>
                <w:rFonts w:asciiTheme="majorBidi" w:eastAsia="Calibri" w:hAnsiTheme="majorBidi" w:cstheme="majorBidi"/>
                <w:sz w:val="28"/>
                <w:szCs w:val="28"/>
                <w:rtl/>
              </w:rPr>
            </w:pPr>
          </w:p>
        </w:tc>
        <w:tc>
          <w:tcPr>
            <w:tcW w:w="6710" w:type="dxa"/>
            <w:tcBorders>
              <w:top w:val="single" w:sz="4" w:space="0" w:color="auto"/>
              <w:left w:val="single" w:sz="4" w:space="0" w:color="auto"/>
              <w:bottom w:val="single" w:sz="4" w:space="0" w:color="auto"/>
              <w:right w:val="single" w:sz="4" w:space="0" w:color="auto"/>
            </w:tcBorders>
            <w:hideMark/>
          </w:tcPr>
          <w:p w14:paraId="1709F8E6" w14:textId="77777777" w:rsidR="00E8506E" w:rsidRPr="00E8506E" w:rsidRDefault="00E8506E" w:rsidP="00E8506E">
            <w:pPr>
              <w:bidi/>
              <w:spacing w:after="160"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الخاتمة</w:t>
            </w:r>
          </w:p>
        </w:tc>
        <w:tc>
          <w:tcPr>
            <w:tcW w:w="1100" w:type="dxa"/>
            <w:tcBorders>
              <w:top w:val="single" w:sz="4" w:space="0" w:color="auto"/>
              <w:left w:val="single" w:sz="4" w:space="0" w:color="auto"/>
              <w:bottom w:val="single" w:sz="4" w:space="0" w:color="auto"/>
              <w:right w:val="single" w:sz="4" w:space="0" w:color="auto"/>
            </w:tcBorders>
            <w:hideMark/>
          </w:tcPr>
          <w:p w14:paraId="749E57C8" w14:textId="77777777" w:rsidR="00E8506E" w:rsidRPr="00E8506E" w:rsidRDefault="00E8506E" w:rsidP="00E8506E">
            <w:pPr>
              <w:bidi/>
              <w:spacing w:after="160" w:line="259" w:lineRule="auto"/>
              <w:rPr>
                <w:rFonts w:asciiTheme="majorBidi" w:eastAsia="Calibri" w:hAnsiTheme="majorBidi" w:cstheme="majorBidi"/>
                <w:sz w:val="28"/>
                <w:szCs w:val="28"/>
                <w:rtl/>
              </w:rPr>
            </w:pPr>
            <w:r w:rsidRPr="00E8506E">
              <w:rPr>
                <w:rFonts w:asciiTheme="majorBidi" w:eastAsia="Calibri" w:hAnsiTheme="majorBidi" w:cstheme="majorBidi"/>
                <w:sz w:val="28"/>
                <w:szCs w:val="28"/>
                <w:rtl/>
              </w:rPr>
              <w:t>11</w:t>
            </w:r>
          </w:p>
        </w:tc>
      </w:tr>
    </w:tbl>
    <w:p w14:paraId="3ABCA9F2" w14:textId="77777777" w:rsidR="00E8506E" w:rsidRPr="00E8506E" w:rsidRDefault="00E8506E" w:rsidP="00E8506E">
      <w:pPr>
        <w:bidi/>
        <w:spacing w:line="259" w:lineRule="auto"/>
        <w:rPr>
          <w:rFonts w:asciiTheme="majorBidi" w:eastAsia="Calibri" w:hAnsiTheme="majorBidi" w:cstheme="majorBidi"/>
          <w:i/>
          <w:iCs/>
          <w:sz w:val="28"/>
          <w:szCs w:val="28"/>
          <w:rtl/>
        </w:rPr>
      </w:pPr>
    </w:p>
    <w:p w14:paraId="72D072DE" w14:textId="77777777" w:rsidR="00E8506E" w:rsidRPr="00E8506E" w:rsidRDefault="00E8506E" w:rsidP="00E8506E">
      <w:pPr>
        <w:bidi/>
        <w:spacing w:line="259" w:lineRule="auto"/>
        <w:rPr>
          <w:rFonts w:asciiTheme="majorBidi" w:eastAsia="Calibri" w:hAnsiTheme="majorBidi" w:cstheme="majorBidi"/>
          <w:b/>
          <w:bCs/>
          <w:sz w:val="28"/>
          <w:szCs w:val="28"/>
          <w:rtl/>
        </w:rPr>
      </w:pPr>
    </w:p>
    <w:p w14:paraId="41D39334" w14:textId="77777777" w:rsidR="00E8506E" w:rsidRPr="00E8506E" w:rsidRDefault="00E8506E" w:rsidP="00E8506E">
      <w:pPr>
        <w:bidi/>
        <w:spacing w:line="259" w:lineRule="auto"/>
        <w:rPr>
          <w:rFonts w:asciiTheme="majorBidi" w:eastAsia="Calibri" w:hAnsiTheme="majorBidi" w:cstheme="majorBidi"/>
          <w:b/>
          <w:bCs/>
          <w:sz w:val="28"/>
          <w:szCs w:val="28"/>
          <w:rtl/>
        </w:rPr>
      </w:pPr>
    </w:p>
    <w:p w14:paraId="6CC302BC" w14:textId="77777777" w:rsidR="00E8506E" w:rsidRPr="00E8506E" w:rsidRDefault="00E8506E" w:rsidP="00E8506E">
      <w:pPr>
        <w:bidi/>
        <w:spacing w:line="259" w:lineRule="auto"/>
        <w:rPr>
          <w:rFonts w:asciiTheme="majorBidi" w:eastAsia="Calibri" w:hAnsiTheme="majorBidi" w:cstheme="majorBidi"/>
          <w:b/>
          <w:bCs/>
          <w:sz w:val="28"/>
          <w:szCs w:val="28"/>
          <w:rtl/>
        </w:rPr>
      </w:pPr>
    </w:p>
    <w:p w14:paraId="104CE621" w14:textId="77777777" w:rsidR="00E8506E" w:rsidRPr="00E8506E" w:rsidRDefault="00E8506E" w:rsidP="00E8506E">
      <w:pPr>
        <w:bidi/>
        <w:spacing w:line="259" w:lineRule="auto"/>
        <w:rPr>
          <w:rFonts w:asciiTheme="majorBidi" w:eastAsia="Calibri" w:hAnsiTheme="majorBidi" w:cstheme="majorBidi"/>
          <w:sz w:val="28"/>
          <w:szCs w:val="28"/>
          <w:rtl/>
        </w:rPr>
      </w:pPr>
    </w:p>
    <w:p w14:paraId="71252EF7" w14:textId="77777777" w:rsidR="00E8506E" w:rsidRDefault="00E8506E" w:rsidP="00E8506E">
      <w:pPr>
        <w:bidi/>
        <w:spacing w:line="259" w:lineRule="auto"/>
        <w:rPr>
          <w:rFonts w:asciiTheme="majorBidi" w:eastAsia="Calibri" w:hAnsiTheme="majorBidi" w:cstheme="majorBidi"/>
          <w:b/>
          <w:bCs/>
          <w:sz w:val="28"/>
          <w:szCs w:val="28"/>
          <w:rtl/>
        </w:rPr>
      </w:pPr>
    </w:p>
    <w:p w14:paraId="44CB873E" w14:textId="77777777" w:rsidR="00E8506E" w:rsidRPr="00E8506E" w:rsidRDefault="00E8506E" w:rsidP="00E8506E">
      <w:pPr>
        <w:bidi/>
        <w:spacing w:line="259" w:lineRule="auto"/>
        <w:rPr>
          <w:rFonts w:asciiTheme="majorBidi" w:eastAsia="Calibri" w:hAnsiTheme="majorBidi" w:cstheme="majorBidi"/>
          <w:b/>
          <w:bCs/>
          <w:sz w:val="28"/>
          <w:szCs w:val="28"/>
          <w:rtl/>
        </w:rPr>
      </w:pPr>
    </w:p>
    <w:p w14:paraId="3A87B5AA" w14:textId="77777777" w:rsidR="00E8506E" w:rsidRPr="00E8506E" w:rsidRDefault="00E8506E" w:rsidP="00E8506E">
      <w:pPr>
        <w:bidi/>
        <w:spacing w:line="259" w:lineRule="auto"/>
        <w:rPr>
          <w:rFonts w:asciiTheme="majorBidi" w:eastAsia="Calibri" w:hAnsiTheme="majorBidi" w:cstheme="majorBidi"/>
          <w:b/>
          <w:bCs/>
          <w:sz w:val="28"/>
          <w:szCs w:val="28"/>
          <w:rtl/>
        </w:rPr>
      </w:pPr>
    </w:p>
    <w:p w14:paraId="0350FF06" w14:textId="77777777" w:rsidR="00E8506E" w:rsidRPr="00E8506E" w:rsidRDefault="00E8506E" w:rsidP="00E8506E">
      <w:pPr>
        <w:bidi/>
        <w:spacing w:line="259" w:lineRule="auto"/>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lastRenderedPageBreak/>
        <w:t>المقدمة</w:t>
      </w:r>
    </w:p>
    <w:p w14:paraId="55542880"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p>
    <w:p w14:paraId="18A28D7F"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هذه الورقة صادرة عن مركز إعلام حقوق الإنسان والديمقراطية "شمس"، في إطار جهوده المتواصلة لرصد وتوثيق انتهاكات الاحتلال الإسرائيلي بحق الشعب الفلسطيني، وتسليط الضوء على السياسات القمعية التي تنتهك قواعد القانون الدولي الإنساني والقانون الدولي لحقوق الإنسان، وفي مقدمتها سياسة الاعتقال الإداري. وتكتسب هذه الورقة أهميتها من كونها تقدم قراءة قانونية وحقوقية معمقة لطبيعة الاعتقال الإداري وعدم قانونيته، كما تكشف كيف تحولت هذه الأداة الاستثنائية إلى سياسة ممنهجة تستخدمها سلطات الاحتلال لقمع الفلسطينيين وتكريس الاحتلال والسيطرة، في انتهاك صارخ لكافة المواثيق والأعراف الدولية، ما يستدعي تحركاً عاجلاً من قبل المجتمع الدولي ومؤسسات العدالة الدولية لإنهاء هذه الممارسة غير القانونية وضمان مساءلة الاحتلال عن انتهاكاته المتواصلة</w:t>
      </w:r>
      <w:r w:rsidRPr="00E8506E">
        <w:rPr>
          <w:rFonts w:asciiTheme="majorBidi" w:eastAsia="Calibri" w:hAnsiTheme="majorBidi" w:cstheme="majorBidi"/>
          <w:sz w:val="28"/>
          <w:szCs w:val="28"/>
          <w:lang w:val="en-GB"/>
        </w:rPr>
        <w:t>.</w:t>
      </w:r>
      <w:r w:rsidRPr="00E8506E">
        <w:rPr>
          <w:rFonts w:asciiTheme="majorBidi" w:eastAsia="Calibri" w:hAnsiTheme="majorBidi" w:cstheme="majorBidi"/>
          <w:sz w:val="28"/>
          <w:szCs w:val="28"/>
          <w:rtl/>
        </w:rPr>
        <w:t xml:space="preserve"> حيث يُعد الاعتقال الإداري من أخطر الانتهاكات التي ترتكبها سلطات الاحتلال الإسرائيلي بحق الفلسطينيين في الأرض الفلسطينية المحتلة، حيث تستخدم هذه الأداة كوسيلة عقابية وسياسية خارج إطار القانون، تفتقر إلى أبسط معايير المحاكمة العادلة.</w:t>
      </w:r>
    </w:p>
    <w:p w14:paraId="2F1B0732" w14:textId="77777777" w:rsidR="00E8506E" w:rsidRPr="00E8506E" w:rsidRDefault="00E8506E" w:rsidP="00E8506E">
      <w:pPr>
        <w:bidi/>
        <w:spacing w:line="259" w:lineRule="auto"/>
        <w:jc w:val="both"/>
        <w:rPr>
          <w:rFonts w:asciiTheme="majorBidi" w:eastAsia="Calibri" w:hAnsiTheme="majorBidi" w:cstheme="majorBidi"/>
          <w:sz w:val="28"/>
          <w:szCs w:val="28"/>
          <w:rtl/>
        </w:rPr>
      </w:pPr>
      <w:r w:rsidRPr="00E8506E">
        <w:rPr>
          <w:rFonts w:asciiTheme="majorBidi" w:eastAsia="Calibri" w:hAnsiTheme="majorBidi" w:cstheme="majorBidi"/>
          <w:sz w:val="28"/>
          <w:szCs w:val="28"/>
          <w:rtl/>
        </w:rPr>
        <w:t xml:space="preserve"> في ظل استمرار الاحتلال الإسرائيلي للأراضي الفلسطينية، تتعرض حقوق الشعب الفلسطيني لانتهاكات جسيمة ومتواصلة، تتخذ أشكالًا متعددة، يأتي في مقدمتها الاعتقال الإداري، الذي يُعد أحد أكثر صور انتهاك الحق في الحرية والكرامة الإنسانية فظاعة واستغلالًا. فمنذ سنوات، تستخدم سلطات الاحتلال هذا الإجراء بشكل تعسفي وممنهج، ضاربة بعرض الحائط القوانين الدولية والمعايير الحقوقية التي تكفل الحماية للأفراد، خصوصاً أولئك القابعين تحت نير الاحتلال. وبذريعة "الملفات السرية" و"الضرورات الأمنية"، تصدر سلطات الاحتلال أوامر اعتقال إدارية بحق آلاف الفلسطينيين، في تجاوز سافر لمبادئ العدالة والحق في محاكمة عادلة، وحرمان المعتقلين من أبسط حقوقهم القانونية، بما في ذلك الاطلاع على التهم الموجهة إليهم أو الدفاع عن أنفسهم أمام قضاء مستقل ومحايد</w:t>
      </w:r>
      <w:r w:rsidRPr="00E8506E">
        <w:rPr>
          <w:rFonts w:asciiTheme="majorBidi" w:eastAsia="Calibri" w:hAnsiTheme="majorBidi" w:cstheme="majorBidi"/>
          <w:sz w:val="28"/>
          <w:szCs w:val="28"/>
          <w:lang w:val="en-GB"/>
        </w:rPr>
        <w:t>.</w:t>
      </w:r>
    </w:p>
    <w:p w14:paraId="3AEFDCA3"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لقد حولت (إسرائيل)، بصفتها قوة احتلال، الاعتقال الإداري من إجراء استثنائي محدود في حالات الضرورة القصوى، كما تقره بعض القواعد الدولية، إلى سياسة ثابتة ومنظمة تستخدم لقمع أي شكل من أشكال المقاومة الشعبية والنشاط السياسي والاجتماعي المشروع في الأراضي الفلسطينية المحتلة. وأمام هذا الواقع القاتم، تبرز الحاجة الملحة لتسليط الضوء على هذه السياسة غير القانونية، وفضح ممارسات الاحتلال في هذا الإطار، وتعرية الأطر القانونية الزائفة التي يحاول من خلالها تبرير انتهاكاته الممنهجة</w:t>
      </w:r>
      <w:r w:rsidRPr="00E8506E">
        <w:rPr>
          <w:rFonts w:asciiTheme="majorBidi" w:eastAsia="Calibri" w:hAnsiTheme="majorBidi" w:cstheme="majorBidi"/>
          <w:sz w:val="28"/>
          <w:szCs w:val="28"/>
          <w:lang w:val="en-GB"/>
        </w:rPr>
        <w:t>.</w:t>
      </w:r>
    </w:p>
    <w:p w14:paraId="1EF01A08" w14:textId="77777777" w:rsidR="00E8506E" w:rsidRDefault="00E8506E" w:rsidP="00E8506E">
      <w:pPr>
        <w:bidi/>
        <w:spacing w:line="259" w:lineRule="auto"/>
        <w:jc w:val="both"/>
        <w:rPr>
          <w:rFonts w:asciiTheme="majorBidi" w:eastAsia="Calibri" w:hAnsiTheme="majorBidi" w:cstheme="majorBidi"/>
          <w:sz w:val="28"/>
          <w:szCs w:val="28"/>
          <w:rtl/>
        </w:rPr>
      </w:pPr>
    </w:p>
    <w:p w14:paraId="3C0F87C9" w14:textId="77777777" w:rsidR="00E8506E" w:rsidRDefault="00E8506E" w:rsidP="00E8506E">
      <w:pPr>
        <w:bidi/>
        <w:spacing w:line="259" w:lineRule="auto"/>
        <w:jc w:val="both"/>
        <w:rPr>
          <w:rFonts w:asciiTheme="majorBidi" w:eastAsia="Calibri" w:hAnsiTheme="majorBidi" w:cstheme="majorBidi"/>
          <w:sz w:val="28"/>
          <w:szCs w:val="28"/>
          <w:rtl/>
        </w:rPr>
      </w:pPr>
    </w:p>
    <w:p w14:paraId="2F5C844A" w14:textId="77777777" w:rsidR="00E8506E" w:rsidRDefault="00E8506E" w:rsidP="00E8506E">
      <w:pPr>
        <w:bidi/>
        <w:spacing w:line="259" w:lineRule="auto"/>
        <w:jc w:val="both"/>
        <w:rPr>
          <w:rFonts w:asciiTheme="majorBidi" w:eastAsia="Calibri" w:hAnsiTheme="majorBidi" w:cstheme="majorBidi"/>
          <w:sz w:val="28"/>
          <w:szCs w:val="28"/>
          <w:rtl/>
        </w:rPr>
      </w:pPr>
    </w:p>
    <w:p w14:paraId="777BB6EE" w14:textId="77777777" w:rsidR="00E8506E" w:rsidRDefault="00E8506E" w:rsidP="00E8506E">
      <w:pPr>
        <w:bidi/>
        <w:spacing w:line="259" w:lineRule="auto"/>
        <w:jc w:val="both"/>
        <w:rPr>
          <w:rFonts w:asciiTheme="majorBidi" w:eastAsia="Calibri" w:hAnsiTheme="majorBidi" w:cstheme="majorBidi"/>
          <w:sz w:val="28"/>
          <w:szCs w:val="28"/>
          <w:rtl/>
        </w:rPr>
      </w:pPr>
    </w:p>
    <w:p w14:paraId="2461F593" w14:textId="77777777" w:rsidR="00E8506E" w:rsidRDefault="00E8506E" w:rsidP="00E8506E">
      <w:pPr>
        <w:bidi/>
        <w:spacing w:line="259" w:lineRule="auto"/>
        <w:jc w:val="both"/>
        <w:rPr>
          <w:rFonts w:asciiTheme="majorBidi" w:eastAsia="Calibri" w:hAnsiTheme="majorBidi" w:cstheme="majorBidi"/>
          <w:sz w:val="28"/>
          <w:szCs w:val="28"/>
          <w:rtl/>
        </w:rPr>
      </w:pPr>
    </w:p>
    <w:p w14:paraId="514E5D91" w14:textId="77777777" w:rsidR="00E8506E" w:rsidRDefault="00E8506E" w:rsidP="00E8506E">
      <w:pPr>
        <w:bidi/>
        <w:spacing w:line="259" w:lineRule="auto"/>
        <w:jc w:val="both"/>
        <w:rPr>
          <w:rFonts w:asciiTheme="majorBidi" w:eastAsia="Calibri" w:hAnsiTheme="majorBidi" w:cstheme="majorBidi"/>
          <w:sz w:val="28"/>
          <w:szCs w:val="28"/>
          <w:rtl/>
        </w:rPr>
      </w:pPr>
    </w:p>
    <w:p w14:paraId="2D7C3B41" w14:textId="77777777" w:rsidR="00E8506E" w:rsidRPr="00E8506E" w:rsidRDefault="00E8506E" w:rsidP="00E8506E">
      <w:pPr>
        <w:bidi/>
        <w:spacing w:line="259" w:lineRule="auto"/>
        <w:jc w:val="both"/>
        <w:rPr>
          <w:rFonts w:asciiTheme="majorBidi" w:eastAsia="Calibri" w:hAnsiTheme="majorBidi" w:cstheme="majorBidi"/>
          <w:sz w:val="28"/>
          <w:szCs w:val="28"/>
          <w:rtl/>
        </w:rPr>
      </w:pPr>
    </w:p>
    <w:p w14:paraId="7C235CF3"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lastRenderedPageBreak/>
        <w:t>مفهوم الاعتقال الإداري في القانون الدولي</w:t>
      </w:r>
    </w:p>
    <w:p w14:paraId="73B1D162"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الاعتقال الإداري هو إجراء استثنائي يتيح للسلطات تقييد حرية الأفراد واحتجازهم دون توجيه تهم رسمية أو عرضهم على محاكمة عادلة، وذلك بناءً على "معلومات سرية" أو "ملفات استخباراتية"، يحجب محتواها عن المعتقل ومحاميه</w:t>
      </w:r>
      <w:r w:rsidRPr="00E8506E">
        <w:rPr>
          <w:rFonts w:asciiTheme="majorBidi" w:eastAsia="Calibri" w:hAnsiTheme="majorBidi" w:cstheme="majorBidi"/>
          <w:sz w:val="28"/>
          <w:szCs w:val="28"/>
          <w:lang w:val="en-GB"/>
        </w:rPr>
        <w:t>.</w:t>
      </w:r>
    </w:p>
    <w:p w14:paraId="07BA873A"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يقر القانون الدولي الإنساني، وتحديداً المادة (78) من اتفاقية جنيف الرابعة لعام 1949، إمكانية اتخاذ تدابير أمنية استثنائية بحق الأفراد في حالات النزاع المسلح والاحتلال، بشرط أن تكون هذه التدابير مبررة بضرورات أمنية حقيقية، وأن تتخذ وفقاً لإجراءات قانونية واضحة وضمانات قضائية صارمة، مع التأكيد على أن اللجوء إلى الاعتقال الإداري يجب أن يكون إجراءً استثنائياً ومؤقتاً، لا ممارسة دائمة أو سياسة عامة</w:t>
      </w:r>
      <w:r w:rsidRPr="00E8506E">
        <w:rPr>
          <w:rFonts w:asciiTheme="majorBidi" w:eastAsia="Calibri" w:hAnsiTheme="majorBidi" w:cstheme="majorBidi"/>
          <w:sz w:val="28"/>
          <w:szCs w:val="28"/>
          <w:lang w:val="en-GB"/>
        </w:rPr>
        <w:t>.</w:t>
      </w:r>
    </w:p>
    <w:p w14:paraId="19E281D5"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إلى جانب ذلك، تحظر المادة (9) من العهد الدولي الخاص بالحقوق المدنية والسياسية، الذي يلزم دولة الاحتلال باعتبارها طرفًا متعاقداً فيه، الحرمان التعسفي من الحرية، وتنص على وجوب إبلاغ أي شخص يعتقل بأسباب اعتقاله فوراً، وتمكينه من الطعن في قانونية اعتقاله أمام سلطة قضائية مستقلة ونزيهة</w:t>
      </w:r>
      <w:r w:rsidRPr="00E8506E">
        <w:rPr>
          <w:rFonts w:asciiTheme="majorBidi" w:eastAsia="Calibri" w:hAnsiTheme="majorBidi" w:cstheme="majorBidi"/>
          <w:sz w:val="28"/>
          <w:szCs w:val="28"/>
          <w:lang w:val="en-GB"/>
        </w:rPr>
        <w:t>.</w:t>
      </w:r>
    </w:p>
    <w:p w14:paraId="219B7FFA"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p>
    <w:p w14:paraId="65896B1E" w14:textId="77777777" w:rsidR="00E8506E" w:rsidRPr="00E8506E" w:rsidRDefault="00E8506E" w:rsidP="00E8506E">
      <w:pPr>
        <w:bidi/>
        <w:spacing w:line="259" w:lineRule="auto"/>
        <w:jc w:val="both"/>
        <w:rPr>
          <w:rFonts w:asciiTheme="majorBidi" w:eastAsia="Calibri" w:hAnsiTheme="majorBidi" w:cstheme="majorBidi"/>
          <w:b/>
          <w:bCs/>
          <w:sz w:val="28"/>
          <w:szCs w:val="28"/>
          <w:lang w:val="en-GB"/>
        </w:rPr>
      </w:pPr>
      <w:r w:rsidRPr="00E8506E">
        <w:rPr>
          <w:rFonts w:asciiTheme="majorBidi" w:eastAsia="Calibri" w:hAnsiTheme="majorBidi" w:cstheme="majorBidi"/>
          <w:b/>
          <w:bCs/>
          <w:sz w:val="28"/>
          <w:szCs w:val="28"/>
          <w:rtl/>
        </w:rPr>
        <w:t>إلغاء بريطانيا لقانون الطوارئ</w:t>
      </w:r>
    </w:p>
    <w:p w14:paraId="63DF3ACF" w14:textId="77777777" w:rsidR="00E8506E" w:rsidRPr="00E8506E" w:rsidRDefault="00E8506E" w:rsidP="00E8506E">
      <w:pPr>
        <w:bidi/>
        <w:spacing w:line="259" w:lineRule="auto"/>
        <w:jc w:val="both"/>
        <w:rPr>
          <w:rFonts w:asciiTheme="majorBidi" w:eastAsia="Calibri" w:hAnsiTheme="majorBidi" w:cstheme="majorBidi"/>
          <w:sz w:val="28"/>
          <w:szCs w:val="28"/>
          <w:rtl/>
        </w:rPr>
      </w:pPr>
      <w:r w:rsidRPr="00E8506E">
        <w:rPr>
          <w:rFonts w:asciiTheme="majorBidi" w:eastAsia="Calibri" w:hAnsiTheme="majorBidi" w:cstheme="majorBidi"/>
          <w:sz w:val="28"/>
          <w:szCs w:val="28"/>
          <w:rtl/>
        </w:rPr>
        <w:t>قامت بريطانيا بإلغاء التشريعات الاستثنائية التي كانت تتيح لها ممارسة الاعتقال الإداري. وكان نظام الدفاع "الطوارئ" لسنة 1945 الذي أقرّته بريطانيا في سياقات استعمارية، لا سيما في فلسطين إبان فترة الانتداب البريطاني، قد أتاح للسلطات البريطانية صلاحيات واسعة لاعتقال الأفراد إدارياً، دون توجيه تهم محددة أو محاكمة عادلة، وهو الإجراء الذي شكّل في حينه انتهاكاً صارخاً للمعايير القانونية والحقوقية</w:t>
      </w:r>
      <w:r w:rsidRPr="00E8506E">
        <w:rPr>
          <w:rFonts w:asciiTheme="majorBidi" w:eastAsia="Calibri" w:hAnsiTheme="majorBidi" w:cstheme="majorBidi"/>
          <w:sz w:val="28"/>
          <w:szCs w:val="28"/>
          <w:lang w:val="en-GB"/>
        </w:rPr>
        <w:t>.</w:t>
      </w:r>
    </w:p>
    <w:p w14:paraId="05DFFA09" w14:textId="77777777" w:rsidR="00E8506E" w:rsidRPr="00E8506E" w:rsidRDefault="00E8506E" w:rsidP="00E8506E">
      <w:pPr>
        <w:bidi/>
        <w:spacing w:line="259" w:lineRule="auto"/>
        <w:jc w:val="both"/>
        <w:rPr>
          <w:rFonts w:asciiTheme="majorBidi" w:eastAsia="Calibri" w:hAnsiTheme="majorBidi" w:cstheme="majorBidi"/>
          <w:sz w:val="28"/>
          <w:szCs w:val="28"/>
          <w:rtl/>
        </w:rPr>
      </w:pPr>
      <w:r w:rsidRPr="00E8506E">
        <w:rPr>
          <w:rFonts w:asciiTheme="majorBidi" w:eastAsia="Calibri" w:hAnsiTheme="majorBidi" w:cstheme="majorBidi"/>
          <w:sz w:val="28"/>
          <w:szCs w:val="28"/>
          <w:rtl/>
        </w:rPr>
        <w:t xml:space="preserve">ولكن بعد انتهاء حقبة الاستعمار البريطاني، لم تتوقف ملاحقة الفلسطينيين عبر أنظمة الطوارئ الاستعمارية، بل أعادت دولة الاحتلال الإسرائيلي توظيفها بشكل منهجي لقمع الفلسطينيين. فبعد قيام دولة الاحتلال عام </w:t>
      </w:r>
      <w:proofErr w:type="gramStart"/>
      <w:r w:rsidRPr="00E8506E">
        <w:rPr>
          <w:rFonts w:asciiTheme="majorBidi" w:eastAsia="Calibri" w:hAnsiTheme="majorBidi" w:cstheme="majorBidi"/>
          <w:sz w:val="28"/>
          <w:szCs w:val="28"/>
          <w:rtl/>
        </w:rPr>
        <w:t>1948،قام</w:t>
      </w:r>
      <w:proofErr w:type="gramEnd"/>
      <w:r w:rsidRPr="00E8506E">
        <w:rPr>
          <w:rFonts w:asciiTheme="majorBidi" w:eastAsia="Calibri" w:hAnsiTheme="majorBidi" w:cstheme="majorBidi"/>
          <w:sz w:val="28"/>
          <w:szCs w:val="28"/>
          <w:rtl/>
        </w:rPr>
        <w:t xml:space="preserve"> الاحتلال بإدراج أنظمة الدفاع (الطوارئ) لعام 1945، إضافة إلى أجزاء واسعة من القوانين التي </w:t>
      </w:r>
      <w:proofErr w:type="spellStart"/>
      <w:r w:rsidRPr="00E8506E">
        <w:rPr>
          <w:rFonts w:asciiTheme="majorBidi" w:eastAsia="Calibri" w:hAnsiTheme="majorBidi" w:cstheme="majorBidi"/>
          <w:sz w:val="28"/>
          <w:szCs w:val="28"/>
          <w:rtl/>
        </w:rPr>
        <w:t>أرساها</w:t>
      </w:r>
      <w:proofErr w:type="spellEnd"/>
      <w:r w:rsidRPr="00E8506E">
        <w:rPr>
          <w:rFonts w:asciiTheme="majorBidi" w:eastAsia="Calibri" w:hAnsiTheme="majorBidi" w:cstheme="majorBidi"/>
          <w:sz w:val="28"/>
          <w:szCs w:val="28"/>
          <w:rtl/>
        </w:rPr>
        <w:t xml:space="preserve"> الاستعمار البريطاني، ضمن المنظومة القانونية الإسرائيلية، من خلال سن ما عرف </w:t>
      </w:r>
      <w:proofErr w:type="gramStart"/>
      <w:r w:rsidRPr="00E8506E">
        <w:rPr>
          <w:rFonts w:asciiTheme="majorBidi" w:eastAsia="Calibri" w:hAnsiTheme="majorBidi" w:cstheme="majorBidi"/>
          <w:sz w:val="28"/>
          <w:szCs w:val="28"/>
          <w:rtl/>
        </w:rPr>
        <w:t>بـ"</w:t>
      </w:r>
      <w:proofErr w:type="gramEnd"/>
      <w:r w:rsidRPr="00E8506E">
        <w:rPr>
          <w:rFonts w:asciiTheme="majorBidi" w:eastAsia="Calibri" w:hAnsiTheme="majorBidi" w:cstheme="majorBidi"/>
          <w:sz w:val="28"/>
          <w:szCs w:val="28"/>
          <w:rtl/>
        </w:rPr>
        <w:t>قانون أنظمة السلطة والقضاء لعام 1948</w:t>
      </w:r>
      <w:r w:rsidRPr="00E8506E">
        <w:rPr>
          <w:rFonts w:asciiTheme="majorBidi" w:eastAsia="Calibri" w:hAnsiTheme="majorBidi" w:cstheme="majorBidi"/>
          <w:sz w:val="28"/>
          <w:szCs w:val="28"/>
          <w:lang w:val="en-GB"/>
        </w:rPr>
        <w:t>".</w:t>
      </w:r>
    </w:p>
    <w:p w14:paraId="7C87CEC8"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وقد فرضت هذه الأنظمة بصرامة على الفلسطينيين الذين ظلوا داخل حدود دولة الاحتلال، حيث وجدوا أنفسهم تحت وطأة الحكم العسكري الإسرائيلي وسياساته القمعية. ولم تكتفِ إسرائيل بذلك، بل استغلت الفراغ القانوني في الأراضي الفلسطينية المحتلة بعد عام 1967، مدعية أن أنظمة الطوارئ ما زالت سارية في الضفة الغربية وقطاع غزة، وأنها لم </w:t>
      </w:r>
      <w:proofErr w:type="gramStart"/>
      <w:r w:rsidRPr="00E8506E">
        <w:rPr>
          <w:rFonts w:asciiTheme="majorBidi" w:eastAsia="Calibri" w:hAnsiTheme="majorBidi" w:cstheme="majorBidi"/>
          <w:sz w:val="28"/>
          <w:szCs w:val="28"/>
          <w:rtl/>
        </w:rPr>
        <w:t>تلغى</w:t>
      </w:r>
      <w:proofErr w:type="gramEnd"/>
      <w:r w:rsidRPr="00E8506E">
        <w:rPr>
          <w:rFonts w:asciiTheme="majorBidi" w:eastAsia="Calibri" w:hAnsiTheme="majorBidi" w:cstheme="majorBidi"/>
          <w:sz w:val="28"/>
          <w:szCs w:val="28"/>
          <w:rtl/>
        </w:rPr>
        <w:t xml:space="preserve"> من </w:t>
      </w:r>
      <w:proofErr w:type="gramStart"/>
      <w:r w:rsidRPr="00E8506E">
        <w:rPr>
          <w:rFonts w:asciiTheme="majorBidi" w:eastAsia="Calibri" w:hAnsiTheme="majorBidi" w:cstheme="majorBidi"/>
          <w:sz w:val="28"/>
          <w:szCs w:val="28"/>
          <w:rtl/>
        </w:rPr>
        <w:t>قبل ،</w:t>
      </w:r>
      <w:proofErr w:type="gramEnd"/>
      <w:r w:rsidRPr="00E8506E">
        <w:rPr>
          <w:rFonts w:asciiTheme="majorBidi" w:eastAsia="Calibri" w:hAnsiTheme="majorBidi" w:cstheme="majorBidi"/>
          <w:sz w:val="28"/>
          <w:szCs w:val="28"/>
          <w:rtl/>
        </w:rPr>
        <w:t xml:space="preserve"> ما أتاح لها فرض هذه الأنظمة مجدداً على الفلسطينيين تحت سيطرة الحكم العسكري الإسرائيلي</w:t>
      </w:r>
      <w:r w:rsidRPr="00E8506E">
        <w:rPr>
          <w:rFonts w:asciiTheme="majorBidi" w:eastAsia="Calibri" w:hAnsiTheme="majorBidi" w:cstheme="majorBidi"/>
          <w:sz w:val="28"/>
          <w:szCs w:val="28"/>
          <w:lang w:val="en-GB"/>
        </w:rPr>
        <w:t>.</w:t>
      </w:r>
    </w:p>
    <w:p w14:paraId="0114D29C"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وبهذا الشكل، تحولت الإجراءات العقابية الجماعية والسلطات الاستثنائية، التي استخدمت إبان الاستعمار البريطاني لقمع الفلسطينيين، إلى جزء متجذر من النظام القانوني القائم في (إسرائيل) والمناطق الفلسطينية المحتلة، وهو ما سمح باستمرار السياسات القمعية بحق الشعب الفلسطيني لعقود طويلة بعد نهاية الاستعمار البريطاني</w:t>
      </w:r>
      <w:r w:rsidRPr="00E8506E">
        <w:rPr>
          <w:rFonts w:asciiTheme="majorBidi" w:eastAsia="Calibri" w:hAnsiTheme="majorBidi" w:cstheme="majorBidi"/>
          <w:sz w:val="28"/>
          <w:szCs w:val="28"/>
          <w:lang w:val="en-GB"/>
        </w:rPr>
        <w:t>.</w:t>
      </w:r>
    </w:p>
    <w:p w14:paraId="16E05935"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lastRenderedPageBreak/>
        <w:t>الممارسات الإسرائيلية في الاعتقال الإداري بحق الفلسطينيين</w:t>
      </w:r>
    </w:p>
    <w:p w14:paraId="37CAF204"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رغم وضوح القواعد الدولية التي تقيد استخدام الاعتقال الإداري وتجعله محصوراً في حالات الضرورة الأمنية القصوى، إلا أن سلطات الاحتلال الإسرائيلي حولت هذا الإجراء إلى أداة قمع سياسي وجماعي بحق الشعب الفلسطيني، بعيداً عن أي التزام قانوني أو أخلاقي</w:t>
      </w:r>
      <w:r w:rsidRPr="00E8506E">
        <w:rPr>
          <w:rFonts w:asciiTheme="majorBidi" w:eastAsia="Calibri" w:hAnsiTheme="majorBidi" w:cstheme="majorBidi"/>
          <w:sz w:val="28"/>
          <w:szCs w:val="28"/>
          <w:lang w:val="en-GB"/>
        </w:rPr>
        <w:t>.</w:t>
      </w:r>
    </w:p>
    <w:p w14:paraId="7FB3456D"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تحتجز سلطات الاحتلال، بشكل منهجي، مئات الفلسطينيين، بينهم نشطاء حقوقيون، قادة مجتمعيون، طلبة جامعات، أسرى محررون، وحتى أطفال ونساء، في إطار الاعتقال الإداري، دون توجيه تهم واضحة أو تقديمهم لمحاكمة عادلة، اعتماداً على أوامر عسكرية سرية تجدد بشكل تلقائي وغير محدود</w:t>
      </w:r>
      <w:r w:rsidRPr="00E8506E">
        <w:rPr>
          <w:rFonts w:asciiTheme="majorBidi" w:eastAsia="Calibri" w:hAnsiTheme="majorBidi" w:cstheme="majorBidi"/>
          <w:sz w:val="28"/>
          <w:szCs w:val="28"/>
          <w:lang w:val="en-GB"/>
        </w:rPr>
        <w:t>.</w:t>
      </w:r>
      <w:r w:rsidRPr="00E8506E">
        <w:rPr>
          <w:rFonts w:asciiTheme="majorBidi" w:eastAsia="Calibri" w:hAnsiTheme="majorBidi" w:cstheme="majorBidi"/>
          <w:sz w:val="28"/>
          <w:szCs w:val="28"/>
          <w:rtl/>
        </w:rPr>
        <w:t xml:space="preserve"> اليوم يبلغ عدد الأسرى الإداريين في سجون الاحتلال: مجدو، </w:t>
      </w:r>
      <w:proofErr w:type="gramStart"/>
      <w:r w:rsidRPr="00E8506E">
        <w:rPr>
          <w:rFonts w:asciiTheme="majorBidi" w:eastAsia="Calibri" w:hAnsiTheme="majorBidi" w:cstheme="majorBidi"/>
          <w:sz w:val="28"/>
          <w:szCs w:val="28"/>
          <w:rtl/>
        </w:rPr>
        <w:t>النقب ،</w:t>
      </w:r>
      <w:proofErr w:type="gramEnd"/>
      <w:r w:rsidRPr="00E8506E">
        <w:rPr>
          <w:rFonts w:asciiTheme="majorBidi" w:eastAsia="Calibri" w:hAnsiTheme="majorBidi" w:cstheme="majorBidi"/>
          <w:sz w:val="28"/>
          <w:szCs w:val="28"/>
          <w:rtl/>
        </w:rPr>
        <w:t xml:space="preserve"> عوفر، والدامون (3562) أسيراً بينهم نساء وأطفال، ومنذ العام 1967 أعتقل جيش الاحتلال أكثر من (60) ألف فلسطيني/ة إدارياً. جدير بالذكر أن هناك عدد من شهداء الحركة الأسيرة الذين استشهدوا وهم رهن الاعتقال الإداري ومنهم على سبيل </w:t>
      </w:r>
      <w:proofErr w:type="gramStart"/>
      <w:r w:rsidRPr="00E8506E">
        <w:rPr>
          <w:rFonts w:asciiTheme="majorBidi" w:eastAsia="Calibri" w:hAnsiTheme="majorBidi" w:cstheme="majorBidi"/>
          <w:sz w:val="28"/>
          <w:szCs w:val="28"/>
          <w:rtl/>
        </w:rPr>
        <w:t>المثال ،</w:t>
      </w:r>
      <w:proofErr w:type="gramEnd"/>
      <w:r w:rsidRPr="00E8506E">
        <w:rPr>
          <w:rFonts w:asciiTheme="majorBidi" w:eastAsia="Calibri" w:hAnsiTheme="majorBidi" w:cstheme="majorBidi"/>
          <w:sz w:val="28"/>
          <w:szCs w:val="28"/>
          <w:rtl/>
        </w:rPr>
        <w:t xml:space="preserve"> معتز </w:t>
      </w:r>
      <w:proofErr w:type="gramStart"/>
      <w:r w:rsidRPr="00E8506E">
        <w:rPr>
          <w:rFonts w:asciiTheme="majorBidi" w:eastAsia="Calibri" w:hAnsiTheme="majorBidi" w:cstheme="majorBidi"/>
          <w:sz w:val="28"/>
          <w:szCs w:val="28"/>
          <w:rtl/>
        </w:rPr>
        <w:t>محمود  أبو</w:t>
      </w:r>
      <w:proofErr w:type="gramEnd"/>
      <w:r w:rsidRPr="00E8506E">
        <w:rPr>
          <w:rFonts w:asciiTheme="majorBidi" w:eastAsia="Calibri" w:hAnsiTheme="majorBidi" w:cstheme="majorBidi"/>
          <w:sz w:val="28"/>
          <w:szCs w:val="28"/>
          <w:rtl/>
        </w:rPr>
        <w:t xml:space="preserve"> </w:t>
      </w:r>
      <w:proofErr w:type="gramStart"/>
      <w:r w:rsidRPr="00E8506E">
        <w:rPr>
          <w:rFonts w:asciiTheme="majorBidi" w:eastAsia="Calibri" w:hAnsiTheme="majorBidi" w:cstheme="majorBidi"/>
          <w:sz w:val="28"/>
          <w:szCs w:val="28"/>
          <w:rtl/>
        </w:rPr>
        <w:t>زنيد</w:t>
      </w:r>
      <w:r w:rsidRPr="00E8506E">
        <w:rPr>
          <w:rFonts w:asciiTheme="majorBidi" w:eastAsia="Calibri" w:hAnsiTheme="majorBidi" w:cstheme="majorBidi"/>
          <w:sz w:val="28"/>
          <w:szCs w:val="28"/>
          <w:rtl/>
          <w:lang w:bidi="ar-YE"/>
        </w:rPr>
        <w:t xml:space="preserve"> ،</w:t>
      </w:r>
      <w:proofErr w:type="gramEnd"/>
      <w:r w:rsidRPr="00E8506E">
        <w:rPr>
          <w:rFonts w:asciiTheme="majorBidi" w:eastAsia="Calibri" w:hAnsiTheme="majorBidi" w:cstheme="majorBidi"/>
          <w:sz w:val="28"/>
          <w:szCs w:val="28"/>
          <w:rtl/>
          <w:lang w:bidi="ar-YE"/>
        </w:rPr>
        <w:t xml:space="preserve"> </w:t>
      </w:r>
      <w:r w:rsidRPr="00E8506E">
        <w:rPr>
          <w:rFonts w:asciiTheme="majorBidi" w:eastAsia="Calibri" w:hAnsiTheme="majorBidi" w:cstheme="majorBidi"/>
          <w:sz w:val="28"/>
          <w:szCs w:val="28"/>
          <w:rtl/>
          <w:lang w:bidi="ar-JO"/>
        </w:rPr>
        <w:t xml:space="preserve">خالد محمود قاسم عبد </w:t>
      </w:r>
      <w:proofErr w:type="gramStart"/>
      <w:r w:rsidRPr="00E8506E">
        <w:rPr>
          <w:rFonts w:asciiTheme="majorBidi" w:eastAsia="Calibri" w:hAnsiTheme="majorBidi" w:cstheme="majorBidi"/>
          <w:sz w:val="28"/>
          <w:szCs w:val="28"/>
          <w:rtl/>
          <w:lang w:bidi="ar-JO"/>
        </w:rPr>
        <w:t>الله</w:t>
      </w:r>
      <w:r w:rsidRPr="00E8506E">
        <w:rPr>
          <w:rFonts w:asciiTheme="majorBidi" w:eastAsia="Calibri" w:hAnsiTheme="majorBidi" w:cstheme="majorBidi"/>
          <w:sz w:val="28"/>
          <w:szCs w:val="28"/>
          <w:rtl/>
        </w:rPr>
        <w:t xml:space="preserve"> ،</w:t>
      </w:r>
      <w:proofErr w:type="gramEnd"/>
      <w:r w:rsidRPr="00E8506E">
        <w:rPr>
          <w:rFonts w:asciiTheme="majorBidi" w:eastAsia="Calibri" w:hAnsiTheme="majorBidi" w:cstheme="majorBidi"/>
          <w:sz w:val="28"/>
          <w:szCs w:val="28"/>
          <w:rtl/>
        </w:rPr>
        <w:t xml:space="preserve"> محمد ياسين خليل جبر</w:t>
      </w:r>
      <w:proofErr w:type="gramStart"/>
      <w:r w:rsidRPr="00E8506E">
        <w:rPr>
          <w:rFonts w:asciiTheme="majorBidi" w:eastAsia="Calibri" w:hAnsiTheme="majorBidi" w:cstheme="majorBidi"/>
          <w:sz w:val="28"/>
          <w:szCs w:val="28"/>
          <w:rtl/>
        </w:rPr>
        <w:t>، ،الشيخ</w:t>
      </w:r>
      <w:proofErr w:type="gramEnd"/>
      <w:r w:rsidRPr="00E8506E">
        <w:rPr>
          <w:rFonts w:asciiTheme="majorBidi" w:eastAsia="Calibri" w:hAnsiTheme="majorBidi" w:cstheme="majorBidi"/>
          <w:sz w:val="28"/>
          <w:szCs w:val="28"/>
          <w:rtl/>
        </w:rPr>
        <w:t xml:space="preserve"> خضر </w:t>
      </w:r>
      <w:proofErr w:type="gramStart"/>
      <w:r w:rsidRPr="00E8506E">
        <w:rPr>
          <w:rFonts w:asciiTheme="majorBidi" w:eastAsia="Calibri" w:hAnsiTheme="majorBidi" w:cstheme="majorBidi"/>
          <w:sz w:val="28"/>
          <w:szCs w:val="28"/>
          <w:rtl/>
        </w:rPr>
        <w:t>عدنان ،</w:t>
      </w:r>
      <w:proofErr w:type="gramEnd"/>
      <w:r w:rsidRPr="00E8506E">
        <w:rPr>
          <w:rFonts w:asciiTheme="majorBidi" w:eastAsia="Calibri" w:hAnsiTheme="majorBidi" w:cstheme="majorBidi"/>
          <w:sz w:val="28"/>
          <w:szCs w:val="28"/>
          <w:rtl/>
        </w:rPr>
        <w:t xml:space="preserve"> وكان أخرهم الشهيد لؤي فيصل محمد نصر الله (22) عاماً من </w:t>
      </w:r>
      <w:proofErr w:type="gramStart"/>
      <w:r w:rsidRPr="00E8506E">
        <w:rPr>
          <w:rFonts w:asciiTheme="majorBidi" w:eastAsia="Calibri" w:hAnsiTheme="majorBidi" w:cstheme="majorBidi"/>
          <w:sz w:val="28"/>
          <w:szCs w:val="28"/>
          <w:rtl/>
        </w:rPr>
        <w:t>جنين ،</w:t>
      </w:r>
      <w:proofErr w:type="gramEnd"/>
      <w:r w:rsidRPr="00E8506E">
        <w:rPr>
          <w:rFonts w:asciiTheme="majorBidi" w:eastAsia="Calibri" w:hAnsiTheme="majorBidi" w:cstheme="majorBidi"/>
          <w:sz w:val="28"/>
          <w:szCs w:val="28"/>
          <w:rtl/>
        </w:rPr>
        <w:t xml:space="preserve"> والذي استشهد بتاريخ 30/6/</w:t>
      </w:r>
      <w:proofErr w:type="gramStart"/>
      <w:r w:rsidRPr="00E8506E">
        <w:rPr>
          <w:rFonts w:asciiTheme="majorBidi" w:eastAsia="Calibri" w:hAnsiTheme="majorBidi" w:cstheme="majorBidi"/>
          <w:sz w:val="28"/>
          <w:szCs w:val="28"/>
          <w:rtl/>
        </w:rPr>
        <w:t>2025 .</w:t>
      </w:r>
      <w:proofErr w:type="gramEnd"/>
    </w:p>
    <w:p w14:paraId="1B7B5126"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كما تتذرع سلطات الاحتلال </w:t>
      </w:r>
      <w:proofErr w:type="gramStart"/>
      <w:r w:rsidRPr="00E8506E">
        <w:rPr>
          <w:rFonts w:asciiTheme="majorBidi" w:eastAsia="Calibri" w:hAnsiTheme="majorBidi" w:cstheme="majorBidi"/>
          <w:sz w:val="28"/>
          <w:szCs w:val="28"/>
          <w:rtl/>
        </w:rPr>
        <w:t>بـ"</w:t>
      </w:r>
      <w:proofErr w:type="gramEnd"/>
      <w:r w:rsidRPr="00E8506E">
        <w:rPr>
          <w:rFonts w:asciiTheme="majorBidi" w:eastAsia="Calibri" w:hAnsiTheme="majorBidi" w:cstheme="majorBidi"/>
          <w:sz w:val="28"/>
          <w:szCs w:val="28"/>
          <w:rtl/>
        </w:rPr>
        <w:t>ملفات سرية" لا تتاح للمعتقل أو محاميه، وهو ما يحرمهم من الحق الأساسي في الدفاع عن أنفسهم ويجعل إجراءات الاعتقال تفتقر إلى أدنى معايير العدالة والشفافية، في انتهاك صارخ لمبدأ سيادة القانون والحق في الحرية والأمان الشخصي</w:t>
      </w:r>
      <w:r w:rsidRPr="00E8506E">
        <w:rPr>
          <w:rFonts w:asciiTheme="majorBidi" w:eastAsia="Calibri" w:hAnsiTheme="majorBidi" w:cstheme="majorBidi"/>
          <w:sz w:val="28"/>
          <w:szCs w:val="28"/>
          <w:lang w:val="en-GB"/>
        </w:rPr>
        <w:t>.</w:t>
      </w:r>
    </w:p>
    <w:p w14:paraId="64E4DDAB" w14:textId="77777777" w:rsidR="00E8506E" w:rsidRPr="00E8506E" w:rsidRDefault="00E8506E" w:rsidP="00E8506E">
      <w:pPr>
        <w:bidi/>
        <w:spacing w:line="259" w:lineRule="auto"/>
        <w:jc w:val="both"/>
        <w:rPr>
          <w:rFonts w:asciiTheme="majorBidi" w:eastAsia="Calibri" w:hAnsiTheme="majorBidi" w:cstheme="majorBidi"/>
          <w:b/>
          <w:bCs/>
          <w:sz w:val="28"/>
          <w:szCs w:val="28"/>
          <w:lang w:val="en-GB"/>
        </w:rPr>
      </w:pPr>
      <w:r w:rsidRPr="00E8506E">
        <w:rPr>
          <w:rFonts w:asciiTheme="majorBidi" w:eastAsia="Calibri" w:hAnsiTheme="majorBidi" w:cstheme="majorBidi"/>
          <w:b/>
          <w:bCs/>
          <w:sz w:val="28"/>
          <w:szCs w:val="28"/>
          <w:rtl/>
        </w:rPr>
        <w:t>الاعتقال الإداري كأداة للعقاب الجماعي والسيطرة السياسية</w:t>
      </w:r>
    </w:p>
    <w:p w14:paraId="3B18D22C"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يتجاوز الاعتقال الإداري في سياق الاحتلال الإسرائيلي للأراضي الفلسطينية المحتلة كونه تدبيراً احترازياً، ليصبح أداة إستراتيجية بيد سلطات الاحتلال لتقويض الحراك السياسي الفلسطيني، وتفريغ الساحة الفلسطينية من المؤثرين </w:t>
      </w:r>
      <w:proofErr w:type="gramStart"/>
      <w:r w:rsidRPr="00E8506E">
        <w:rPr>
          <w:rFonts w:asciiTheme="majorBidi" w:eastAsia="Calibri" w:hAnsiTheme="majorBidi" w:cstheme="majorBidi"/>
          <w:sz w:val="28"/>
          <w:szCs w:val="28"/>
          <w:rtl/>
        </w:rPr>
        <w:t>الفلسطينيين ،</w:t>
      </w:r>
      <w:proofErr w:type="gramEnd"/>
      <w:r w:rsidRPr="00E8506E">
        <w:rPr>
          <w:rFonts w:asciiTheme="majorBidi" w:eastAsia="Calibri" w:hAnsiTheme="majorBidi" w:cstheme="majorBidi"/>
          <w:sz w:val="28"/>
          <w:szCs w:val="28"/>
          <w:rtl/>
        </w:rPr>
        <w:t xml:space="preserve"> وخلق حالة من الترهيب والردع داخل المجتمع الفلسطيني</w:t>
      </w:r>
      <w:r w:rsidRPr="00E8506E">
        <w:rPr>
          <w:rFonts w:asciiTheme="majorBidi" w:eastAsia="Calibri" w:hAnsiTheme="majorBidi" w:cstheme="majorBidi"/>
          <w:sz w:val="28"/>
          <w:szCs w:val="28"/>
          <w:lang w:val="en-GB"/>
        </w:rPr>
        <w:t>.</w:t>
      </w:r>
    </w:p>
    <w:p w14:paraId="4243AEC9"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يستخدم الاعتقال الإداري كوسيلة لمعاقبة الفلسطينيين على خلفية نشاطهم السياسي أو الاجتماعي أو الحقوقي، حتى في غياب أي أدلة ملموسة، كما يمارس بأسلوب انتقامي ضد الأسرى المحررين الذين يواصلون النضال السلمي أو المساهمة في الوعي المجتمعي، وهو ما يخالف نصوص القانون الدولي ويشكل جريمة من جرائم الاحتلال</w:t>
      </w:r>
      <w:r w:rsidRPr="00E8506E">
        <w:rPr>
          <w:rFonts w:asciiTheme="majorBidi" w:eastAsia="Calibri" w:hAnsiTheme="majorBidi" w:cstheme="majorBidi"/>
          <w:sz w:val="28"/>
          <w:szCs w:val="28"/>
          <w:lang w:val="en-GB"/>
        </w:rPr>
        <w:t>.</w:t>
      </w:r>
    </w:p>
    <w:p w14:paraId="399535D4" w14:textId="77777777" w:rsidR="00E8506E" w:rsidRPr="00E8506E" w:rsidRDefault="00E8506E" w:rsidP="00E8506E">
      <w:pPr>
        <w:bidi/>
        <w:spacing w:line="259" w:lineRule="auto"/>
        <w:jc w:val="both"/>
        <w:rPr>
          <w:rFonts w:asciiTheme="majorBidi" w:eastAsia="Calibri" w:hAnsiTheme="majorBidi" w:cstheme="majorBidi"/>
          <w:sz w:val="28"/>
          <w:szCs w:val="28"/>
          <w:rtl/>
        </w:rPr>
      </w:pPr>
    </w:p>
    <w:p w14:paraId="2C3ED391"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انتهاك الاعتقال الإداري للمواثيق الدولية</w:t>
      </w:r>
    </w:p>
    <w:p w14:paraId="01473B72"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تتعارض سياسة الاعتقال الإداري التي تنتهجها سلطات الاحتلال الإسرائيلي مع أحكام القانون الدولي الإنساني والقانون الدولي لحقوق الإنسان بشكل صارخ، حيث تمثل هذه السياسة انتهاكاً مباشراً لجملة من الاتفاقيات والمواثيق الدولية التي تكفل الحق في الحرية والأمان الشخصي وتجرم الاعتقال التعسفي. ويأتي في مقدمة هذه الانتهاكات مخالفة المادة (9) من الإعلان العالمي لحقوق الإنسان، التي تحظر الحرمان التعسفي من الحرية والاحتجاز دون محاكمة عادلة، إلى جانب انتهاك المواد (9) و(14) من العهد الدولي الخاص بالحقوق المدنية والسياسية، والتي تضمن لكل فرد الحق في معرفة أسباب اعتقاله فوراً، والحق في محاكمة عادلة أمام هيئة قضائية مستقلة وشفافة. كما يشكل الاعتقال الإداري، في كثير من الحالات، مدخلاً لانتهاكات أخرى جسيمة ترتبط بظروف الاحتجاز القاسية، وحرمان المعتقلين من العلاج والرعاية الصحية، </w:t>
      </w:r>
      <w:r w:rsidRPr="00E8506E">
        <w:rPr>
          <w:rFonts w:asciiTheme="majorBidi" w:eastAsia="Calibri" w:hAnsiTheme="majorBidi" w:cstheme="majorBidi"/>
          <w:sz w:val="28"/>
          <w:szCs w:val="28"/>
          <w:rtl/>
        </w:rPr>
        <w:lastRenderedPageBreak/>
        <w:t>ومنع زيارات العائلات، بل وأحياناً تعريضهم لسوء المعاملة، وهو ما يمثل خرقاً لاتفاقية مناهضة التعذيب. كذلك، تتناقض هذه السياسة مع المادة (78) من اتفاقية جنيف الرابعة، التي تنص صراحة على أن اللجوء إلى الاعتقال الإداري يجب أن يقتصر على حالات الضرورة الأمنية الفعلية، وألا يستخدم كأداة للعقاب الجماعي أو القمع السياسي، مع ضرورة توفير ضمانات قضائية حقيقية وفعالة لكل من يُحتجز بموجب هذا الإجراء</w:t>
      </w:r>
      <w:r w:rsidRPr="00E8506E">
        <w:rPr>
          <w:rFonts w:asciiTheme="majorBidi" w:eastAsia="Calibri" w:hAnsiTheme="majorBidi" w:cstheme="majorBidi"/>
          <w:sz w:val="28"/>
          <w:szCs w:val="28"/>
          <w:lang w:val="en-GB"/>
        </w:rPr>
        <w:t>.</w:t>
      </w:r>
    </w:p>
    <w:p w14:paraId="24C028C2"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p>
    <w:p w14:paraId="7AE8519F" w14:textId="77777777" w:rsidR="00E8506E" w:rsidRPr="00E8506E" w:rsidRDefault="00E8506E" w:rsidP="00E8506E">
      <w:pPr>
        <w:bidi/>
        <w:spacing w:line="259" w:lineRule="auto"/>
        <w:jc w:val="both"/>
        <w:rPr>
          <w:rFonts w:asciiTheme="majorBidi" w:eastAsia="Calibri" w:hAnsiTheme="majorBidi" w:cstheme="majorBidi"/>
          <w:b/>
          <w:bCs/>
          <w:sz w:val="28"/>
          <w:szCs w:val="28"/>
          <w:lang w:val="en-GB"/>
        </w:rPr>
      </w:pPr>
      <w:r w:rsidRPr="00E8506E">
        <w:rPr>
          <w:rFonts w:asciiTheme="majorBidi" w:eastAsia="Calibri" w:hAnsiTheme="majorBidi" w:cstheme="majorBidi"/>
          <w:b/>
          <w:bCs/>
          <w:sz w:val="28"/>
          <w:szCs w:val="28"/>
          <w:rtl/>
        </w:rPr>
        <w:t>أبعاد سياسة الاعتقال الإداري في ظل الاحتلال الإسرائيلي</w:t>
      </w:r>
    </w:p>
    <w:p w14:paraId="3D90407A"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سياسة الاعتقال الإداري ليست معزولة عن منظومة الاحتلال الاستعماري الإسرائيلي، بل تشكل جزءًا لا يتجزأ من أدوات السيطرة والقمع </w:t>
      </w:r>
      <w:proofErr w:type="spellStart"/>
      <w:r w:rsidRPr="00E8506E">
        <w:rPr>
          <w:rFonts w:asciiTheme="majorBidi" w:eastAsia="Calibri" w:hAnsiTheme="majorBidi" w:cstheme="majorBidi"/>
          <w:sz w:val="28"/>
          <w:szCs w:val="28"/>
          <w:rtl/>
        </w:rPr>
        <w:t>الممنهج،الهادفة</w:t>
      </w:r>
      <w:proofErr w:type="spellEnd"/>
      <w:r w:rsidRPr="00E8506E">
        <w:rPr>
          <w:rFonts w:asciiTheme="majorBidi" w:eastAsia="Calibri" w:hAnsiTheme="majorBidi" w:cstheme="majorBidi"/>
          <w:sz w:val="28"/>
          <w:szCs w:val="28"/>
          <w:rtl/>
        </w:rPr>
        <w:t xml:space="preserve"> إلى تفكيك البنية الاجتماعية والسياسية الفلسطينية، وتعطيل الحراك الشعبي والحقوقي، وتجريم العمل السياسي والاجتماعي السلمي، وتكريس الردع والخوف داخل المجتمع الفلسطيني، والإبقاء على الفلسطينيين تحت حالة دائمة من القلق واللايقين، ولا يخفى أن الاعتقال الإداري يُستخدم ضمن سياسة العقوبات الجماعية، ويخدم إستراتيجية الاحتلال في فرض الهيمنة وكسر إرادة الفلسطينيين، بما يتناقض مع أبسط قواعد العدالة والحقوق الأساسية</w:t>
      </w:r>
      <w:r w:rsidRPr="00E8506E">
        <w:rPr>
          <w:rFonts w:asciiTheme="majorBidi" w:eastAsia="Calibri" w:hAnsiTheme="majorBidi" w:cstheme="majorBidi"/>
          <w:sz w:val="28"/>
          <w:szCs w:val="28"/>
          <w:lang w:val="en-GB"/>
        </w:rPr>
        <w:t>.</w:t>
      </w:r>
    </w:p>
    <w:p w14:paraId="6206665B"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p>
    <w:p w14:paraId="449793B9" w14:textId="77777777" w:rsidR="00E8506E" w:rsidRPr="00E8506E" w:rsidRDefault="00E8506E" w:rsidP="00E8506E">
      <w:pPr>
        <w:bidi/>
        <w:spacing w:line="259" w:lineRule="auto"/>
        <w:jc w:val="both"/>
        <w:rPr>
          <w:rFonts w:asciiTheme="majorBidi" w:eastAsia="Calibri" w:hAnsiTheme="majorBidi" w:cstheme="majorBidi"/>
          <w:sz w:val="28"/>
          <w:szCs w:val="28"/>
          <w:rtl/>
        </w:rPr>
      </w:pPr>
    </w:p>
    <w:p w14:paraId="060AF6E7" w14:textId="77777777" w:rsidR="00E8506E" w:rsidRPr="00E8506E" w:rsidRDefault="00E8506E" w:rsidP="00E8506E">
      <w:pPr>
        <w:bidi/>
        <w:spacing w:line="259" w:lineRule="auto"/>
        <w:jc w:val="both"/>
        <w:rPr>
          <w:rFonts w:asciiTheme="majorBidi" w:eastAsia="Calibri" w:hAnsiTheme="majorBidi" w:cstheme="majorBidi"/>
          <w:b/>
          <w:bCs/>
          <w:sz w:val="28"/>
          <w:szCs w:val="28"/>
          <w:lang w:val="en-GB"/>
        </w:rPr>
      </w:pPr>
      <w:r w:rsidRPr="00E8506E">
        <w:rPr>
          <w:rFonts w:asciiTheme="majorBidi" w:eastAsia="Calibri" w:hAnsiTheme="majorBidi" w:cstheme="majorBidi"/>
          <w:b/>
          <w:bCs/>
          <w:sz w:val="28"/>
          <w:szCs w:val="28"/>
          <w:rtl/>
        </w:rPr>
        <w:t>موقف المجتمع الدولي والمطالبة بوقف الاعتقال الإداري</w:t>
      </w:r>
    </w:p>
    <w:p w14:paraId="6DAEB576"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p>
    <w:p w14:paraId="62745CE3"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رغم الإدانات المتكررة الصادرة عن منظمات حقوق الإنسان الدولية، والهيئات الأممية، والتي تؤكد الطابع غير القانوني للاعتقال الإداري الإسرائيلي، إلا أن غياب الإجراءات الفعلية والمساءلة الحقيقية ساعد سلطات الاحتلال على التمادي في هذا الانتهاك الجسيم. من هنا، تطالب المؤسسات الحقوقية الفلسطينية والمجتمع المدني بضرورة ممارسة الضغط الدولي الفاعل على دولة الاحتلال لوقف سياسة الاعتقال الإداري فوراً، وإلزام (إسرائيل) باحترام التزاماتها القانونية كقوة احتلال وفق اتفاقيات جنيف والقانون الدولي، وتمكين المعتقلين الإداريين من حقوقهم القانونية، وضمان محاكمات عادلة وشفافة لهم، وإحالة ملف الاعتقال الإداري إلى محكمة الجنايات الدولية ضمن سياق جرائم الاحتلال، ودعم إضرابات الأسرى الإداريين ومطالبهم العادلة بإلغاء هذا الإجراء غير الإنساني</w:t>
      </w:r>
      <w:r w:rsidRPr="00E8506E">
        <w:rPr>
          <w:rFonts w:asciiTheme="majorBidi" w:eastAsia="Calibri" w:hAnsiTheme="majorBidi" w:cstheme="majorBidi"/>
          <w:sz w:val="28"/>
          <w:szCs w:val="28"/>
          <w:lang w:val="en-GB"/>
        </w:rPr>
        <w:t>.</w:t>
      </w:r>
    </w:p>
    <w:p w14:paraId="251C5565" w14:textId="77777777" w:rsidR="00E8506E" w:rsidRDefault="00E8506E" w:rsidP="00E8506E">
      <w:pPr>
        <w:bidi/>
        <w:spacing w:line="259" w:lineRule="auto"/>
        <w:rPr>
          <w:rFonts w:asciiTheme="majorBidi" w:eastAsia="Calibri" w:hAnsiTheme="majorBidi" w:cstheme="majorBidi"/>
          <w:sz w:val="28"/>
          <w:szCs w:val="28"/>
          <w:rtl/>
        </w:rPr>
      </w:pPr>
    </w:p>
    <w:p w14:paraId="3F100ABD" w14:textId="77777777" w:rsidR="00E8506E" w:rsidRDefault="00E8506E" w:rsidP="00E8506E">
      <w:pPr>
        <w:bidi/>
        <w:spacing w:line="259" w:lineRule="auto"/>
        <w:rPr>
          <w:rFonts w:asciiTheme="majorBidi" w:eastAsia="Calibri" w:hAnsiTheme="majorBidi" w:cstheme="majorBidi"/>
          <w:sz w:val="28"/>
          <w:szCs w:val="28"/>
          <w:rtl/>
        </w:rPr>
      </w:pPr>
    </w:p>
    <w:p w14:paraId="63245DE0" w14:textId="77777777" w:rsidR="00E8506E" w:rsidRDefault="00E8506E" w:rsidP="00E8506E">
      <w:pPr>
        <w:bidi/>
        <w:spacing w:line="259" w:lineRule="auto"/>
        <w:rPr>
          <w:rFonts w:asciiTheme="majorBidi" w:eastAsia="Calibri" w:hAnsiTheme="majorBidi" w:cstheme="majorBidi"/>
          <w:sz w:val="28"/>
          <w:szCs w:val="28"/>
          <w:rtl/>
        </w:rPr>
      </w:pPr>
    </w:p>
    <w:p w14:paraId="71D915D9" w14:textId="77777777" w:rsidR="00E8506E" w:rsidRDefault="00E8506E" w:rsidP="00E8506E">
      <w:pPr>
        <w:bidi/>
        <w:spacing w:line="259" w:lineRule="auto"/>
        <w:rPr>
          <w:rFonts w:asciiTheme="majorBidi" w:eastAsia="Calibri" w:hAnsiTheme="majorBidi" w:cstheme="majorBidi"/>
          <w:sz w:val="28"/>
          <w:szCs w:val="28"/>
          <w:rtl/>
        </w:rPr>
      </w:pPr>
    </w:p>
    <w:p w14:paraId="0E36E53B" w14:textId="77777777" w:rsidR="00E8506E" w:rsidRPr="00E8506E" w:rsidRDefault="00E8506E" w:rsidP="00E8506E">
      <w:pPr>
        <w:bidi/>
        <w:spacing w:line="259" w:lineRule="auto"/>
        <w:rPr>
          <w:rFonts w:asciiTheme="majorBidi" w:eastAsia="Calibri" w:hAnsiTheme="majorBidi" w:cstheme="majorBidi"/>
          <w:sz w:val="28"/>
          <w:szCs w:val="28"/>
          <w:rtl/>
        </w:rPr>
      </w:pPr>
    </w:p>
    <w:p w14:paraId="4B04D0DE" w14:textId="77777777" w:rsidR="00E8506E" w:rsidRPr="00E8506E" w:rsidRDefault="00E8506E" w:rsidP="00E8506E">
      <w:pPr>
        <w:bidi/>
        <w:spacing w:line="259" w:lineRule="auto"/>
        <w:rPr>
          <w:rFonts w:asciiTheme="majorBidi" w:eastAsia="Calibri" w:hAnsiTheme="majorBidi" w:cstheme="majorBidi"/>
          <w:sz w:val="28"/>
          <w:szCs w:val="28"/>
          <w:rtl/>
        </w:rPr>
      </w:pPr>
    </w:p>
    <w:p w14:paraId="12CDB1F0"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lastRenderedPageBreak/>
        <w:t>الأبعاد النفسية والاجتماعية لسياسة الاعتقال الإداري على المعتقلين الإداريين وذويهم</w:t>
      </w:r>
    </w:p>
    <w:p w14:paraId="782FFD21"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p>
    <w:p w14:paraId="640EDCFD" w14:textId="77777777" w:rsidR="00E8506E" w:rsidRPr="00E8506E" w:rsidRDefault="00E8506E" w:rsidP="00E8506E">
      <w:pPr>
        <w:bidi/>
        <w:spacing w:line="259" w:lineRule="auto"/>
        <w:jc w:val="both"/>
        <w:rPr>
          <w:rFonts w:asciiTheme="majorBidi" w:eastAsia="Calibri" w:hAnsiTheme="majorBidi" w:cstheme="majorBidi"/>
          <w:sz w:val="28"/>
          <w:szCs w:val="28"/>
          <w:rtl/>
        </w:rPr>
      </w:pPr>
      <w:r w:rsidRPr="00E8506E">
        <w:rPr>
          <w:rFonts w:asciiTheme="majorBidi" w:eastAsia="Calibri" w:hAnsiTheme="majorBidi" w:cstheme="majorBidi"/>
          <w:sz w:val="28"/>
          <w:szCs w:val="28"/>
          <w:rtl/>
        </w:rPr>
        <w:t>تمثل سياسة الاعتقال الإداري التي تنتهجها سلطات الاحتلال الإسرائيلي بحق الفلسطينيين واحدة من أكثر السياسات القمعية التي لا تقتصر آثارها على المعتقلين الإداريين أنفسهم، بل تمتد لتطال أسرهم ومجتمعهم بأسره، مخلفة أبعاداً نفسية واجتماعية غاية في القسوة والتدمير. فالاعتقال الإداري، باعتباره اعتقالاً تعسفياً غير قائم على تهم واضحة أو إجراءات قضائية نزيهة، يخلق حالة من الغموض والقلق الدائم للمعتقل وذويه، ويجعلهم يعيشون في دوامة من الانتظار المرهق، حيث لا يعلمون متى ينتهي هذا الاعتقال أو ما إذا كان سيتم تجديده بشكل تعسفي لمرة تلو الأخرى</w:t>
      </w:r>
      <w:r w:rsidRPr="00E8506E">
        <w:rPr>
          <w:rFonts w:asciiTheme="majorBidi" w:eastAsia="Calibri" w:hAnsiTheme="majorBidi" w:cstheme="majorBidi"/>
          <w:sz w:val="28"/>
          <w:szCs w:val="28"/>
          <w:lang w:val="en-GB"/>
        </w:rPr>
        <w:t>.</w:t>
      </w:r>
    </w:p>
    <w:p w14:paraId="2940B572"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على الصعيد النفسي، يترك الاعتقال الإداري آثاراً مدمرة على المعتقلين أنفسهم، حيث يعيشون تحت ضغط نفسي متواصل ناجم عن انعدام اليقين وغياب الأفق القانوني لوضعهم، وهو ما يؤدي إلى حالات من الاكتئاب، والقلق الشديد، واضطرابات النوم، والشعور الدائم بالتهديد </w:t>
      </w:r>
      <w:proofErr w:type="spellStart"/>
      <w:r w:rsidRPr="00E8506E">
        <w:rPr>
          <w:rFonts w:asciiTheme="majorBidi" w:eastAsia="Calibri" w:hAnsiTheme="majorBidi" w:cstheme="majorBidi"/>
          <w:sz w:val="28"/>
          <w:szCs w:val="28"/>
          <w:rtl/>
        </w:rPr>
        <w:t>واللااستقرار</w:t>
      </w:r>
      <w:proofErr w:type="spellEnd"/>
      <w:r w:rsidRPr="00E8506E">
        <w:rPr>
          <w:rFonts w:asciiTheme="majorBidi" w:eastAsia="Calibri" w:hAnsiTheme="majorBidi" w:cstheme="majorBidi"/>
          <w:sz w:val="28"/>
          <w:szCs w:val="28"/>
          <w:rtl/>
        </w:rPr>
        <w:t>. ويضاف إلى ذلك الأثر النفسي العميق الناتج عن العزلة القسرية، وحرمان المعتقل من التواصل المستمر مع عائلته ومحاميه، وهو ما يفاقم الشعور بالضعف وانعدام السيطرة على المصير الشخصي.</w:t>
      </w:r>
    </w:p>
    <w:p w14:paraId="327DA098"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أما الأبعاد الاجتماعية، فلا تقل خطورة، إذ يشكل الاعتقال الإداري ضربة موجعة للنسيج الاجتماعي الفلسطيني، حيث يتحول المعتقلون الإداريون إلى أسرى مجهولي المصير، وتترك عائلاتهم تواجه مصيراً غامضاً مليئاً بالقلق والتوتر والمعاناة اليومية، في ظل غياب المعيل أو أحد أفراد الأسرة، وما يترتب على ذلك من أعباء اجتماعية واقتصادية قاسية. وتدفع النساء الفلسطينيات، بوصفهن غالباً من يتحملن المسؤولية الأسرية المباشرة في غياب المعتقل، ثمناً مضاعفاً من الضغوط النفسية والاجتماعية، حيث يجبرن على إدارة شؤون الأسرة بمفردهن وسط حالة من انعدام الاستقرار النفسي والمعنوي</w:t>
      </w:r>
      <w:r w:rsidRPr="00E8506E">
        <w:rPr>
          <w:rFonts w:asciiTheme="majorBidi" w:eastAsia="Calibri" w:hAnsiTheme="majorBidi" w:cstheme="majorBidi"/>
          <w:sz w:val="28"/>
          <w:szCs w:val="28"/>
          <w:lang w:val="en-GB"/>
        </w:rPr>
        <w:t>.</w:t>
      </w:r>
    </w:p>
    <w:p w14:paraId="1886BA51"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كما أن سياسة الاعتقال الإداري تترك أثراً سلبياً بالغاً على الأطفال، حيث يكبرون في بيئة يسودها الخوف والقلق، ويتعرضون لصدمات نفسية عميقة نتيجة اختفاء أحد الوالدين أو أفراد الأسرة بشكل مفاجئ وغير مبرر، دون القدرة على فهم دوافع وأسباب الاعتقال، وهو ما ينعكس على سلوكياتهم، وأدائهم المدرسي، </w:t>
      </w:r>
      <w:proofErr w:type="gramStart"/>
      <w:r w:rsidRPr="00E8506E">
        <w:rPr>
          <w:rFonts w:asciiTheme="majorBidi" w:eastAsia="Calibri" w:hAnsiTheme="majorBidi" w:cstheme="majorBidi"/>
          <w:sz w:val="28"/>
          <w:szCs w:val="28"/>
          <w:rtl/>
        </w:rPr>
        <w:t xml:space="preserve">واستقرارهم النفسي </w:t>
      </w:r>
      <w:proofErr w:type="gramEnd"/>
      <w:r w:rsidRPr="00E8506E">
        <w:rPr>
          <w:rFonts w:asciiTheme="majorBidi" w:eastAsia="Calibri" w:hAnsiTheme="majorBidi" w:cstheme="majorBidi"/>
          <w:sz w:val="28"/>
          <w:szCs w:val="28"/>
          <w:rtl/>
        </w:rPr>
        <w:t>والاجتماعي. ومن ناحية أخرى، يساهم الاعتقال الإداري في تقويض العلاقات الاجتماعية داخل المجتمع الفلسطيني، حيث يعزز مناخ الريبة والخوف، ويزرع مشاعر الغضب والإحباط، ويُضعف من قدرة المجتمع على التماسك والصمود أمام سياسات الاحتلال</w:t>
      </w:r>
      <w:r w:rsidRPr="00E8506E">
        <w:rPr>
          <w:rFonts w:asciiTheme="majorBidi" w:eastAsia="Calibri" w:hAnsiTheme="majorBidi" w:cstheme="majorBidi"/>
          <w:sz w:val="28"/>
          <w:szCs w:val="28"/>
          <w:lang w:val="en-GB"/>
        </w:rPr>
        <w:t>.</w:t>
      </w:r>
    </w:p>
    <w:p w14:paraId="03A679C4"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إن سياسة الاعتقال الإداري، بما تحمله من أبعاد نفسية واجتماعية مدمرة، تشكل جزءًا من الحرب النفسية التي يشنها الاحتلال الإسرائيلي بحق الشعب الفلسطيني، وتهدف إلى كسر إرادة الأفراد، وتفكيك البنية الاجتماعية، وإضعاف الروح المعنوية للمجتمع الفلسطيني. وعليه، فإن مواجهتها لا تقتصر على الجانب القانوني فحسب، بل تتطلب أيضًا استجابة مجتمعية شاملة توفر الدعم النفسي والاجتماعي للمعتقلين الإداريين وعائلاتهم، وتعزز من صمودهم، وتُعيد ترميم الأثر النفسي والاجتماعي الذي تخلّفه هذه السياسة القمعية الممنهجة</w:t>
      </w:r>
      <w:r w:rsidRPr="00E8506E">
        <w:rPr>
          <w:rFonts w:asciiTheme="majorBidi" w:eastAsia="Calibri" w:hAnsiTheme="majorBidi" w:cstheme="majorBidi"/>
          <w:sz w:val="28"/>
          <w:szCs w:val="28"/>
          <w:lang w:val="en-GB"/>
        </w:rPr>
        <w:t>.</w:t>
      </w:r>
    </w:p>
    <w:p w14:paraId="04B30417" w14:textId="77777777" w:rsidR="00E8506E" w:rsidRPr="00E8506E" w:rsidRDefault="00E8506E" w:rsidP="00E8506E">
      <w:pPr>
        <w:bidi/>
        <w:spacing w:line="259" w:lineRule="auto"/>
        <w:rPr>
          <w:rFonts w:asciiTheme="majorBidi" w:eastAsia="Calibri" w:hAnsiTheme="majorBidi" w:cstheme="majorBidi"/>
          <w:sz w:val="28"/>
          <w:szCs w:val="28"/>
          <w:rtl/>
        </w:rPr>
      </w:pPr>
    </w:p>
    <w:p w14:paraId="62B0A31F" w14:textId="77777777" w:rsidR="00E8506E" w:rsidRPr="00E8506E" w:rsidRDefault="00E8506E" w:rsidP="00E8506E">
      <w:pPr>
        <w:bidi/>
        <w:spacing w:line="259" w:lineRule="auto"/>
        <w:rPr>
          <w:rFonts w:asciiTheme="majorBidi" w:eastAsia="Calibri" w:hAnsiTheme="majorBidi" w:cstheme="majorBidi"/>
          <w:sz w:val="28"/>
          <w:szCs w:val="28"/>
          <w:rtl/>
        </w:rPr>
      </w:pPr>
    </w:p>
    <w:p w14:paraId="2D6EC204"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lastRenderedPageBreak/>
        <w:t>التوصيات</w:t>
      </w:r>
    </w:p>
    <w:p w14:paraId="0D15E08F" w14:textId="77777777" w:rsidR="00E8506E" w:rsidRPr="00E8506E" w:rsidRDefault="00E8506E" w:rsidP="00E8506E">
      <w:pPr>
        <w:bidi/>
        <w:spacing w:line="259" w:lineRule="auto"/>
        <w:jc w:val="both"/>
        <w:rPr>
          <w:rFonts w:asciiTheme="majorBidi" w:eastAsia="Calibri" w:hAnsiTheme="majorBidi" w:cstheme="majorBidi"/>
          <w:b/>
          <w:bCs/>
          <w:sz w:val="28"/>
          <w:szCs w:val="28"/>
          <w:rtl/>
        </w:rPr>
      </w:pPr>
      <w:r w:rsidRPr="00E8506E">
        <w:rPr>
          <w:rFonts w:asciiTheme="majorBidi" w:eastAsia="Calibri" w:hAnsiTheme="majorBidi" w:cstheme="majorBidi"/>
          <w:b/>
          <w:bCs/>
          <w:sz w:val="28"/>
          <w:szCs w:val="28"/>
          <w:rtl/>
        </w:rPr>
        <w:t xml:space="preserve"> </w:t>
      </w:r>
    </w:p>
    <w:p w14:paraId="1B547DE8" w14:textId="77777777" w:rsidR="00E8506E" w:rsidRPr="00E8506E" w:rsidRDefault="00E8506E" w:rsidP="00E8506E">
      <w:pPr>
        <w:bidi/>
        <w:spacing w:line="259" w:lineRule="auto"/>
        <w:jc w:val="both"/>
        <w:rPr>
          <w:rFonts w:asciiTheme="majorBidi" w:eastAsia="Calibri" w:hAnsiTheme="majorBidi" w:cstheme="majorBidi"/>
          <w:b/>
          <w:bCs/>
          <w:sz w:val="28"/>
          <w:szCs w:val="28"/>
          <w:lang w:val="en-GB"/>
        </w:rPr>
      </w:pPr>
      <w:r w:rsidRPr="00E8506E">
        <w:rPr>
          <w:rFonts w:asciiTheme="majorBidi" w:eastAsia="Calibri" w:hAnsiTheme="majorBidi" w:cstheme="majorBidi"/>
          <w:sz w:val="28"/>
          <w:szCs w:val="28"/>
          <w:rtl/>
        </w:rPr>
        <w:t xml:space="preserve">وفي هذا الإطار، يوصي مركز "شمس" بضرورة ممارسة الضغط الدولي الفاعل على دولة الاحتلال لوقف سياسة الاعتقال الإداري فوراً، وإلزامها باحترام التزاماتها القانونية كقوة احتلال وفق اتفاقيات جنيف والقانون الدولي، وبإلغاء هذا الإجراء غير القانوني وغير </w:t>
      </w:r>
      <w:proofErr w:type="gramStart"/>
      <w:r w:rsidRPr="00E8506E">
        <w:rPr>
          <w:rFonts w:asciiTheme="majorBidi" w:eastAsia="Calibri" w:hAnsiTheme="majorBidi" w:cstheme="majorBidi"/>
          <w:sz w:val="28"/>
          <w:szCs w:val="28"/>
          <w:rtl/>
        </w:rPr>
        <w:t>الإنساني</w:t>
      </w:r>
      <w:r w:rsidRPr="00E8506E">
        <w:rPr>
          <w:rFonts w:asciiTheme="majorBidi" w:eastAsia="Calibri" w:hAnsiTheme="majorBidi" w:cstheme="majorBidi"/>
          <w:b/>
          <w:bCs/>
          <w:sz w:val="28"/>
          <w:szCs w:val="28"/>
          <w:lang w:val="en-GB"/>
        </w:rPr>
        <w:t>.</w:t>
      </w:r>
      <w:r w:rsidRPr="00E8506E">
        <w:rPr>
          <w:rFonts w:asciiTheme="majorBidi" w:eastAsia="Calibri" w:hAnsiTheme="majorBidi" w:cstheme="majorBidi"/>
          <w:sz w:val="28"/>
          <w:szCs w:val="28"/>
          <w:rtl/>
        </w:rPr>
        <w:t>من</w:t>
      </w:r>
      <w:proofErr w:type="gramEnd"/>
      <w:r w:rsidRPr="00E8506E">
        <w:rPr>
          <w:rFonts w:asciiTheme="majorBidi" w:eastAsia="Calibri" w:hAnsiTheme="majorBidi" w:cstheme="majorBidi"/>
          <w:b/>
          <w:bCs/>
          <w:sz w:val="28"/>
          <w:szCs w:val="28"/>
          <w:rtl/>
        </w:rPr>
        <w:t xml:space="preserve"> </w:t>
      </w:r>
      <w:r w:rsidRPr="00E8506E">
        <w:rPr>
          <w:rFonts w:asciiTheme="majorBidi" w:eastAsia="Calibri" w:hAnsiTheme="majorBidi" w:cstheme="majorBidi"/>
          <w:sz w:val="28"/>
          <w:szCs w:val="28"/>
          <w:rtl/>
        </w:rPr>
        <w:t>خلال التوقف الفوري عن ممارسة سياسة الاعتقال الإداري بحق الفلسطينيين، وإلغاء كافة أوامر الاعتقال الإداري القائمة</w:t>
      </w:r>
      <w:r w:rsidRPr="00E8506E">
        <w:rPr>
          <w:rFonts w:asciiTheme="majorBidi" w:eastAsia="Calibri" w:hAnsiTheme="majorBidi" w:cstheme="majorBidi"/>
          <w:sz w:val="28"/>
          <w:szCs w:val="28"/>
          <w:lang w:val="en-GB"/>
        </w:rPr>
        <w:t>.</w:t>
      </w:r>
    </w:p>
    <w:p w14:paraId="136EEA5A"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p>
    <w:p w14:paraId="21213399"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proofErr w:type="gramStart"/>
      <w:r w:rsidRPr="00E8506E">
        <w:rPr>
          <w:rFonts w:asciiTheme="majorBidi" w:eastAsia="Calibri" w:hAnsiTheme="majorBidi" w:cstheme="majorBidi"/>
          <w:b/>
          <w:bCs/>
          <w:sz w:val="28"/>
          <w:szCs w:val="28"/>
          <w:rtl/>
        </w:rPr>
        <w:t>أولاً :</w:t>
      </w:r>
      <w:proofErr w:type="gramEnd"/>
      <w:r w:rsidRPr="00E8506E">
        <w:rPr>
          <w:rFonts w:asciiTheme="majorBidi" w:eastAsia="Calibri" w:hAnsiTheme="majorBidi" w:cstheme="majorBidi"/>
          <w:b/>
          <w:bCs/>
          <w:sz w:val="28"/>
          <w:szCs w:val="28"/>
          <w:rtl/>
        </w:rPr>
        <w:t xml:space="preserve"> توصيات إلى المجتمع الدولي والدول الأطراف السامية المتعاقدة على اتفاقيات جنيف</w:t>
      </w:r>
    </w:p>
    <w:p w14:paraId="11C53134" w14:textId="77777777" w:rsidR="00E8506E" w:rsidRPr="00E8506E" w:rsidRDefault="00E8506E" w:rsidP="00E8506E">
      <w:pPr>
        <w:numPr>
          <w:ilvl w:val="0"/>
          <w:numId w:val="6"/>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ممارسة ضغوط سياسية ودبلوماسية مباشرة على سلطات الاحتلال لوقف سياسة الاعتقال الإداري بشكل نهائي</w:t>
      </w:r>
      <w:r w:rsidRPr="00E8506E">
        <w:rPr>
          <w:rFonts w:asciiTheme="majorBidi" w:eastAsia="Calibri" w:hAnsiTheme="majorBidi" w:cstheme="majorBidi"/>
          <w:sz w:val="28"/>
          <w:szCs w:val="28"/>
          <w:lang w:val="en-GB"/>
        </w:rPr>
        <w:t>.</w:t>
      </w:r>
    </w:p>
    <w:p w14:paraId="54FD4958" w14:textId="77777777" w:rsidR="00E8506E" w:rsidRPr="00E8506E" w:rsidRDefault="00E8506E" w:rsidP="00E8506E">
      <w:pPr>
        <w:numPr>
          <w:ilvl w:val="0"/>
          <w:numId w:val="6"/>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اتخاذ إجراءات ملموسة لضمان امتثال (إسرائيل) لالتزاماتها الدولية، بما في ذلك فرض عقوبات في حال استمرار الانتهاكات</w:t>
      </w:r>
      <w:r w:rsidRPr="00E8506E">
        <w:rPr>
          <w:rFonts w:asciiTheme="majorBidi" w:eastAsia="Calibri" w:hAnsiTheme="majorBidi" w:cstheme="majorBidi"/>
          <w:sz w:val="28"/>
          <w:szCs w:val="28"/>
          <w:lang w:val="en-GB"/>
        </w:rPr>
        <w:t>.</w:t>
      </w:r>
    </w:p>
    <w:p w14:paraId="13F38A51" w14:textId="77777777" w:rsidR="00E8506E" w:rsidRPr="00E8506E" w:rsidRDefault="00E8506E" w:rsidP="00E8506E">
      <w:pPr>
        <w:numPr>
          <w:ilvl w:val="0"/>
          <w:numId w:val="6"/>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دعم الجهود القانونية أمام محكمة الجنايات الدولية، لفتح تحقيقات في الاعتقال الإداري كجزء من انتهاكات الاحتلال الممنهجة</w:t>
      </w:r>
      <w:r w:rsidRPr="00E8506E">
        <w:rPr>
          <w:rFonts w:asciiTheme="majorBidi" w:eastAsia="Calibri" w:hAnsiTheme="majorBidi" w:cstheme="majorBidi"/>
          <w:sz w:val="28"/>
          <w:szCs w:val="28"/>
          <w:lang w:val="en-GB"/>
        </w:rPr>
        <w:t>.</w:t>
      </w:r>
    </w:p>
    <w:p w14:paraId="14333717" w14:textId="1A791460" w:rsidR="00E8506E" w:rsidRPr="00E8506E" w:rsidRDefault="00E8506E" w:rsidP="00E8506E">
      <w:pPr>
        <w:numPr>
          <w:ilvl w:val="0"/>
          <w:numId w:val="6"/>
        </w:numPr>
        <w:bidi/>
        <w:spacing w:line="259" w:lineRule="auto"/>
        <w:jc w:val="both"/>
        <w:rPr>
          <w:rFonts w:asciiTheme="majorBidi" w:eastAsia="Calibri" w:hAnsiTheme="majorBidi" w:cstheme="majorBidi"/>
          <w:sz w:val="28"/>
          <w:szCs w:val="28"/>
          <w:rtl/>
          <w:lang w:val="en-GB"/>
        </w:rPr>
      </w:pPr>
      <w:r w:rsidRPr="00E8506E">
        <w:rPr>
          <w:rFonts w:asciiTheme="majorBidi" w:eastAsia="Calibri" w:hAnsiTheme="majorBidi" w:cstheme="majorBidi"/>
          <w:sz w:val="28"/>
          <w:szCs w:val="28"/>
          <w:rtl/>
        </w:rPr>
        <w:t>إرسال لجان تحقيق دولية مستقلة إلى الأرض الفلسطينية المحتلة لرصد وتوثيق انتهاكات الاعتقال الإداري</w:t>
      </w:r>
      <w:r w:rsidRPr="00E8506E">
        <w:rPr>
          <w:rFonts w:asciiTheme="majorBidi" w:eastAsia="Calibri" w:hAnsiTheme="majorBidi" w:cstheme="majorBidi"/>
          <w:sz w:val="28"/>
          <w:szCs w:val="28"/>
          <w:lang w:val="en-GB"/>
        </w:rPr>
        <w:t>.</w:t>
      </w:r>
    </w:p>
    <w:p w14:paraId="243AF17B" w14:textId="77777777" w:rsidR="00E8506E" w:rsidRPr="00E8506E" w:rsidRDefault="00E8506E" w:rsidP="00E8506E">
      <w:pPr>
        <w:bidi/>
        <w:spacing w:line="259" w:lineRule="auto"/>
        <w:jc w:val="both"/>
        <w:rPr>
          <w:rFonts w:asciiTheme="majorBidi" w:eastAsia="Calibri" w:hAnsiTheme="majorBidi" w:cstheme="majorBidi"/>
          <w:sz w:val="28"/>
          <w:szCs w:val="28"/>
          <w:rtl/>
        </w:rPr>
      </w:pPr>
    </w:p>
    <w:p w14:paraId="044EC00F" w14:textId="77777777" w:rsidR="00E8506E" w:rsidRPr="00E8506E" w:rsidRDefault="00E8506E" w:rsidP="00E8506E">
      <w:pPr>
        <w:bidi/>
        <w:spacing w:line="259" w:lineRule="auto"/>
        <w:jc w:val="both"/>
        <w:rPr>
          <w:rFonts w:asciiTheme="majorBidi" w:eastAsia="Calibri" w:hAnsiTheme="majorBidi" w:cstheme="majorBidi"/>
          <w:b/>
          <w:bCs/>
          <w:sz w:val="28"/>
          <w:szCs w:val="28"/>
        </w:rPr>
      </w:pPr>
      <w:r w:rsidRPr="00E8506E">
        <w:rPr>
          <w:rFonts w:asciiTheme="majorBidi" w:eastAsia="Calibri" w:hAnsiTheme="majorBidi" w:cstheme="majorBidi"/>
          <w:b/>
          <w:bCs/>
          <w:sz w:val="28"/>
          <w:szCs w:val="28"/>
          <w:rtl/>
        </w:rPr>
        <w:t>ثانياً: توصيات إلى المؤسسات والهيئات الأممية ذات الصلة</w:t>
      </w:r>
    </w:p>
    <w:p w14:paraId="5C2ABC67" w14:textId="77777777" w:rsidR="00E8506E" w:rsidRPr="00E8506E" w:rsidRDefault="00E8506E" w:rsidP="00E8506E">
      <w:pPr>
        <w:bidi/>
        <w:spacing w:line="259" w:lineRule="auto"/>
        <w:jc w:val="both"/>
        <w:rPr>
          <w:rFonts w:asciiTheme="majorBidi" w:eastAsia="Calibri" w:hAnsiTheme="majorBidi" w:cstheme="majorBidi"/>
          <w:sz w:val="28"/>
          <w:szCs w:val="28"/>
          <w:rtl/>
        </w:rPr>
      </w:pPr>
    </w:p>
    <w:p w14:paraId="6E8A9F68" w14:textId="77777777" w:rsidR="00E8506E" w:rsidRPr="00E8506E" w:rsidRDefault="00E8506E" w:rsidP="00E8506E">
      <w:pPr>
        <w:numPr>
          <w:ilvl w:val="0"/>
          <w:numId w:val="7"/>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مطالبة مجلس حقوق الإنسان والأمين العام للأمم المتحدة بإدراج ملف الاعتقال الإداري ضمن التقارير الرسمية الدورية المتعلقة بانتهاكات الاحتلال</w:t>
      </w:r>
      <w:r w:rsidRPr="00E8506E">
        <w:rPr>
          <w:rFonts w:asciiTheme="majorBidi" w:eastAsia="Calibri" w:hAnsiTheme="majorBidi" w:cstheme="majorBidi"/>
          <w:sz w:val="28"/>
          <w:szCs w:val="28"/>
          <w:lang w:val="en-GB"/>
        </w:rPr>
        <w:t>.</w:t>
      </w:r>
    </w:p>
    <w:p w14:paraId="57125529" w14:textId="77777777" w:rsidR="00E8506E" w:rsidRPr="00E8506E" w:rsidRDefault="00E8506E" w:rsidP="00E8506E">
      <w:pPr>
        <w:numPr>
          <w:ilvl w:val="0"/>
          <w:numId w:val="7"/>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تفعيل الآليات التعاقدية وغير التعاقدية للأمم المتحدة، لا سيما المقررين الخاصين المعنيين بحالات الاعتقال التعسفي والتعذيب</w:t>
      </w:r>
      <w:r w:rsidRPr="00E8506E">
        <w:rPr>
          <w:rFonts w:asciiTheme="majorBidi" w:eastAsia="Calibri" w:hAnsiTheme="majorBidi" w:cstheme="majorBidi"/>
          <w:sz w:val="28"/>
          <w:szCs w:val="28"/>
          <w:lang w:val="en-GB"/>
        </w:rPr>
        <w:t>.</w:t>
      </w:r>
    </w:p>
    <w:p w14:paraId="7559F3D0" w14:textId="77777777" w:rsidR="00E8506E" w:rsidRPr="00E8506E" w:rsidRDefault="00E8506E" w:rsidP="00E8506E">
      <w:pPr>
        <w:numPr>
          <w:ilvl w:val="0"/>
          <w:numId w:val="7"/>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إدراج الاعتقال الإداري الإسرائيلي ضمن انتهاكات حقوق الإنسان الجسيمة التي تستدعي تدخلاً دولياً عاجلاً</w:t>
      </w:r>
      <w:r w:rsidRPr="00E8506E">
        <w:rPr>
          <w:rFonts w:asciiTheme="majorBidi" w:eastAsia="Calibri" w:hAnsiTheme="majorBidi" w:cstheme="majorBidi"/>
          <w:sz w:val="28"/>
          <w:szCs w:val="28"/>
          <w:lang w:val="en-GB"/>
        </w:rPr>
        <w:t>.</w:t>
      </w:r>
    </w:p>
    <w:p w14:paraId="16EB5E50" w14:textId="77777777" w:rsidR="00E8506E" w:rsidRPr="00E8506E" w:rsidRDefault="00E8506E" w:rsidP="00E8506E">
      <w:pPr>
        <w:numPr>
          <w:ilvl w:val="0"/>
          <w:numId w:val="7"/>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التنسيق مع منظمات حقوق الإنسان الفلسطينية لتوثيق انتهاكات الاعتقال الإداري وتقديمها للهيئات الأممية المختصة</w:t>
      </w:r>
      <w:r w:rsidRPr="00E8506E">
        <w:rPr>
          <w:rFonts w:asciiTheme="majorBidi" w:eastAsia="Calibri" w:hAnsiTheme="majorBidi" w:cstheme="majorBidi"/>
          <w:sz w:val="28"/>
          <w:szCs w:val="28"/>
          <w:lang w:val="en-GB"/>
        </w:rPr>
        <w:t>.</w:t>
      </w:r>
    </w:p>
    <w:p w14:paraId="5E8DDE54" w14:textId="77777777" w:rsidR="00E8506E" w:rsidRDefault="00E8506E" w:rsidP="00E8506E">
      <w:pPr>
        <w:bidi/>
        <w:spacing w:line="259" w:lineRule="auto"/>
        <w:jc w:val="both"/>
        <w:rPr>
          <w:rFonts w:asciiTheme="majorBidi" w:eastAsia="Calibri" w:hAnsiTheme="majorBidi" w:cstheme="majorBidi"/>
          <w:sz w:val="28"/>
          <w:szCs w:val="28"/>
          <w:rtl/>
        </w:rPr>
      </w:pPr>
    </w:p>
    <w:p w14:paraId="15E9B3C1" w14:textId="77777777" w:rsidR="00E8506E" w:rsidRPr="00E8506E" w:rsidRDefault="00E8506E" w:rsidP="00E8506E">
      <w:pPr>
        <w:bidi/>
        <w:spacing w:line="259" w:lineRule="auto"/>
        <w:jc w:val="both"/>
        <w:rPr>
          <w:rFonts w:asciiTheme="majorBidi" w:eastAsia="Calibri" w:hAnsiTheme="majorBidi" w:cstheme="majorBidi"/>
          <w:sz w:val="28"/>
          <w:szCs w:val="28"/>
          <w:rtl/>
        </w:rPr>
      </w:pPr>
    </w:p>
    <w:p w14:paraId="0397305C"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b/>
          <w:bCs/>
          <w:sz w:val="28"/>
          <w:szCs w:val="28"/>
          <w:rtl/>
        </w:rPr>
        <w:lastRenderedPageBreak/>
        <w:t>ثالثاً: توصيات إلى المؤسسات الحقوقية الفلسطينية والمجتمع المدني الفلسطيني</w:t>
      </w:r>
    </w:p>
    <w:p w14:paraId="5A26E5DA" w14:textId="77777777" w:rsidR="00E8506E" w:rsidRPr="00E8506E" w:rsidRDefault="00E8506E" w:rsidP="00E8506E">
      <w:pPr>
        <w:numPr>
          <w:ilvl w:val="0"/>
          <w:numId w:val="8"/>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الاستمرار في رصد وتوثيق كافة حالات الاعتقال الإداري بدقة وتقديم ملفات قانونية جاهزة للمحافل الدولية</w:t>
      </w:r>
      <w:r w:rsidRPr="00E8506E">
        <w:rPr>
          <w:rFonts w:asciiTheme="majorBidi" w:eastAsia="Calibri" w:hAnsiTheme="majorBidi" w:cstheme="majorBidi"/>
          <w:sz w:val="28"/>
          <w:szCs w:val="28"/>
          <w:lang w:val="en-GB"/>
        </w:rPr>
        <w:t>.</w:t>
      </w:r>
    </w:p>
    <w:p w14:paraId="214CD163" w14:textId="77777777" w:rsidR="00E8506E" w:rsidRPr="00E8506E" w:rsidRDefault="00E8506E" w:rsidP="00E8506E">
      <w:pPr>
        <w:numPr>
          <w:ilvl w:val="0"/>
          <w:numId w:val="8"/>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تكثيف الحملات الإعلامية الوطنية والدولية لفضح سياسة الاعتقال الإداري وآثارها على الأسرى وعائلاتهم والمجتمع الفلسطيني</w:t>
      </w:r>
      <w:r w:rsidRPr="00E8506E">
        <w:rPr>
          <w:rFonts w:asciiTheme="majorBidi" w:eastAsia="Calibri" w:hAnsiTheme="majorBidi" w:cstheme="majorBidi"/>
          <w:sz w:val="28"/>
          <w:szCs w:val="28"/>
          <w:lang w:val="en-GB"/>
        </w:rPr>
        <w:t>.</w:t>
      </w:r>
    </w:p>
    <w:p w14:paraId="1B0979BD" w14:textId="77777777" w:rsidR="00E8506E" w:rsidRPr="00E8506E" w:rsidRDefault="00E8506E" w:rsidP="00E8506E">
      <w:pPr>
        <w:numPr>
          <w:ilvl w:val="0"/>
          <w:numId w:val="8"/>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تعزيز التنسيق بين المؤسسات الحقوقية والمحامين الفلسطينيين لتقديم الدعم القانوني للمعتقلين الإداريين وذويهم</w:t>
      </w:r>
      <w:r w:rsidRPr="00E8506E">
        <w:rPr>
          <w:rFonts w:asciiTheme="majorBidi" w:eastAsia="Calibri" w:hAnsiTheme="majorBidi" w:cstheme="majorBidi"/>
          <w:sz w:val="28"/>
          <w:szCs w:val="28"/>
          <w:lang w:val="en-GB"/>
        </w:rPr>
        <w:t>.</w:t>
      </w:r>
    </w:p>
    <w:p w14:paraId="55901908" w14:textId="77777777" w:rsidR="00E8506E" w:rsidRPr="00E8506E" w:rsidRDefault="00E8506E" w:rsidP="00E8506E">
      <w:pPr>
        <w:numPr>
          <w:ilvl w:val="0"/>
          <w:numId w:val="8"/>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توسيع برامج التوعية القانونية في المجتمع الفلسطيني حول حقوق الأسرى والمعتقلين وآليات الضغط القانونية المتاحة</w:t>
      </w:r>
      <w:r w:rsidRPr="00E8506E">
        <w:rPr>
          <w:rFonts w:asciiTheme="majorBidi" w:eastAsia="Calibri" w:hAnsiTheme="majorBidi" w:cstheme="majorBidi"/>
          <w:sz w:val="28"/>
          <w:szCs w:val="28"/>
          <w:lang w:val="en-GB"/>
        </w:rPr>
        <w:t>.</w:t>
      </w:r>
    </w:p>
    <w:p w14:paraId="141D2BCA"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p>
    <w:p w14:paraId="3E259CBB"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b/>
          <w:bCs/>
          <w:sz w:val="28"/>
          <w:szCs w:val="28"/>
          <w:rtl/>
        </w:rPr>
        <w:t>رابعاً: توصيات إلى الحكومة الفلسطينية وهيئة شؤون الأسرى</w:t>
      </w:r>
    </w:p>
    <w:p w14:paraId="43FA7C30" w14:textId="77777777" w:rsidR="00E8506E" w:rsidRPr="00E8506E" w:rsidRDefault="00E8506E" w:rsidP="00E8506E">
      <w:pPr>
        <w:numPr>
          <w:ilvl w:val="0"/>
          <w:numId w:val="9"/>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إدراج ملف الاعتقال الإداري ضمن أولويات العمل السياسي والدبلوماسي الفلسطيني في كافة المحافل الإقليمية والدولية</w:t>
      </w:r>
      <w:r w:rsidRPr="00E8506E">
        <w:rPr>
          <w:rFonts w:asciiTheme="majorBidi" w:eastAsia="Calibri" w:hAnsiTheme="majorBidi" w:cstheme="majorBidi"/>
          <w:sz w:val="28"/>
          <w:szCs w:val="28"/>
          <w:lang w:val="en-GB"/>
        </w:rPr>
        <w:t>.</w:t>
      </w:r>
    </w:p>
    <w:p w14:paraId="7B7B177F" w14:textId="77777777" w:rsidR="00E8506E" w:rsidRPr="00E8506E" w:rsidRDefault="00E8506E" w:rsidP="00E8506E">
      <w:pPr>
        <w:numPr>
          <w:ilvl w:val="0"/>
          <w:numId w:val="9"/>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استثمار التوافق الوطني في تبني خطاب فلسطيني موحد لفضح ممارسات الاحتلال بحق الأسرى والمعتقلين الإداريين</w:t>
      </w:r>
      <w:r w:rsidRPr="00E8506E">
        <w:rPr>
          <w:rFonts w:asciiTheme="majorBidi" w:eastAsia="Calibri" w:hAnsiTheme="majorBidi" w:cstheme="majorBidi"/>
          <w:sz w:val="28"/>
          <w:szCs w:val="28"/>
          <w:lang w:val="en-GB"/>
        </w:rPr>
        <w:t>.</w:t>
      </w:r>
    </w:p>
    <w:p w14:paraId="3C417014" w14:textId="77777777" w:rsidR="00E8506E" w:rsidRPr="00E8506E" w:rsidRDefault="00E8506E" w:rsidP="00E8506E">
      <w:pPr>
        <w:numPr>
          <w:ilvl w:val="0"/>
          <w:numId w:val="9"/>
        </w:num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تعزيز العمل مع الدول الصديقة وحركات التضامن الدولية لوضع ملف الاعتقال الإداري على </w:t>
      </w:r>
      <w:proofErr w:type="gramStart"/>
      <w:r w:rsidRPr="00E8506E">
        <w:rPr>
          <w:rFonts w:asciiTheme="majorBidi" w:eastAsia="Calibri" w:hAnsiTheme="majorBidi" w:cstheme="majorBidi"/>
          <w:sz w:val="28"/>
          <w:szCs w:val="28"/>
          <w:rtl/>
        </w:rPr>
        <w:t>أجندة</w:t>
      </w:r>
      <w:proofErr w:type="gramEnd"/>
      <w:r w:rsidRPr="00E8506E">
        <w:rPr>
          <w:rFonts w:asciiTheme="majorBidi" w:eastAsia="Calibri" w:hAnsiTheme="majorBidi" w:cstheme="majorBidi"/>
          <w:sz w:val="28"/>
          <w:szCs w:val="28"/>
          <w:rtl/>
        </w:rPr>
        <w:t xml:space="preserve"> الضغوط السياسية ضد الاحتلال</w:t>
      </w:r>
      <w:r w:rsidRPr="00E8506E">
        <w:rPr>
          <w:rFonts w:asciiTheme="majorBidi" w:eastAsia="Calibri" w:hAnsiTheme="majorBidi" w:cstheme="majorBidi"/>
          <w:sz w:val="28"/>
          <w:szCs w:val="28"/>
          <w:lang w:val="en-GB"/>
        </w:rPr>
        <w:t>.</w:t>
      </w:r>
    </w:p>
    <w:p w14:paraId="35757C5E"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p>
    <w:p w14:paraId="7730F876" w14:textId="77777777" w:rsidR="00E8506E" w:rsidRPr="00E8506E" w:rsidRDefault="00E8506E" w:rsidP="00E8506E">
      <w:pPr>
        <w:bidi/>
        <w:spacing w:line="259" w:lineRule="auto"/>
        <w:jc w:val="both"/>
        <w:rPr>
          <w:rFonts w:asciiTheme="majorBidi" w:eastAsia="Calibri" w:hAnsiTheme="majorBidi" w:cstheme="majorBidi"/>
          <w:sz w:val="28"/>
          <w:szCs w:val="28"/>
          <w:rtl/>
        </w:rPr>
      </w:pPr>
    </w:p>
    <w:p w14:paraId="2CB8D0A9" w14:textId="77777777" w:rsidR="00E8506E" w:rsidRPr="00E8506E" w:rsidRDefault="00E8506E" w:rsidP="00E8506E">
      <w:pPr>
        <w:bidi/>
        <w:spacing w:line="259" w:lineRule="auto"/>
        <w:rPr>
          <w:rFonts w:asciiTheme="majorBidi" w:eastAsia="Calibri" w:hAnsiTheme="majorBidi" w:cstheme="majorBidi"/>
          <w:sz w:val="28"/>
          <w:szCs w:val="28"/>
          <w:rtl/>
        </w:rPr>
      </w:pPr>
    </w:p>
    <w:p w14:paraId="4929BEBB" w14:textId="77777777" w:rsidR="00E8506E" w:rsidRPr="00E8506E" w:rsidRDefault="00E8506E" w:rsidP="00E8506E">
      <w:pPr>
        <w:bidi/>
        <w:spacing w:line="259" w:lineRule="auto"/>
        <w:rPr>
          <w:rFonts w:asciiTheme="majorBidi" w:eastAsia="Calibri" w:hAnsiTheme="majorBidi" w:cstheme="majorBidi"/>
          <w:sz w:val="28"/>
          <w:szCs w:val="28"/>
          <w:rtl/>
        </w:rPr>
      </w:pPr>
    </w:p>
    <w:p w14:paraId="6186F5E1" w14:textId="77777777" w:rsidR="00E8506E" w:rsidRPr="00E8506E" w:rsidRDefault="00E8506E" w:rsidP="00E8506E">
      <w:pPr>
        <w:bidi/>
        <w:spacing w:line="259" w:lineRule="auto"/>
        <w:rPr>
          <w:rFonts w:asciiTheme="majorBidi" w:eastAsia="Calibri" w:hAnsiTheme="majorBidi" w:cstheme="majorBidi"/>
          <w:sz w:val="28"/>
          <w:szCs w:val="28"/>
          <w:rtl/>
        </w:rPr>
      </w:pPr>
    </w:p>
    <w:p w14:paraId="1193B2CD" w14:textId="77777777" w:rsidR="00E8506E" w:rsidRPr="00E8506E" w:rsidRDefault="00E8506E" w:rsidP="00E8506E">
      <w:pPr>
        <w:bidi/>
        <w:spacing w:line="259" w:lineRule="auto"/>
        <w:rPr>
          <w:rFonts w:asciiTheme="majorBidi" w:eastAsia="Calibri" w:hAnsiTheme="majorBidi" w:cstheme="majorBidi"/>
          <w:sz w:val="28"/>
          <w:szCs w:val="28"/>
          <w:rtl/>
        </w:rPr>
      </w:pPr>
    </w:p>
    <w:p w14:paraId="6A3F11D3" w14:textId="77777777" w:rsidR="00E8506E" w:rsidRDefault="00E8506E" w:rsidP="00E8506E">
      <w:pPr>
        <w:bidi/>
        <w:spacing w:line="259" w:lineRule="auto"/>
        <w:rPr>
          <w:rFonts w:asciiTheme="majorBidi" w:eastAsia="Calibri" w:hAnsiTheme="majorBidi" w:cstheme="majorBidi"/>
          <w:sz w:val="28"/>
          <w:szCs w:val="28"/>
          <w:rtl/>
        </w:rPr>
      </w:pPr>
    </w:p>
    <w:p w14:paraId="30C63E84" w14:textId="77777777" w:rsidR="00E8506E" w:rsidRDefault="00E8506E" w:rsidP="00E8506E">
      <w:pPr>
        <w:bidi/>
        <w:spacing w:line="259" w:lineRule="auto"/>
        <w:rPr>
          <w:rFonts w:asciiTheme="majorBidi" w:eastAsia="Calibri" w:hAnsiTheme="majorBidi" w:cstheme="majorBidi"/>
          <w:sz w:val="28"/>
          <w:szCs w:val="28"/>
          <w:rtl/>
        </w:rPr>
      </w:pPr>
    </w:p>
    <w:p w14:paraId="33A3D319" w14:textId="77777777" w:rsidR="00E8506E" w:rsidRPr="00E8506E" w:rsidRDefault="00E8506E" w:rsidP="00E8506E">
      <w:pPr>
        <w:bidi/>
        <w:spacing w:line="259" w:lineRule="auto"/>
        <w:rPr>
          <w:rFonts w:asciiTheme="majorBidi" w:eastAsia="Calibri" w:hAnsiTheme="majorBidi" w:cstheme="majorBidi"/>
          <w:sz w:val="28"/>
          <w:szCs w:val="28"/>
          <w:rtl/>
        </w:rPr>
      </w:pPr>
    </w:p>
    <w:p w14:paraId="1E135B1E" w14:textId="77777777" w:rsidR="00E8506E" w:rsidRPr="00E8506E" w:rsidRDefault="00E8506E" w:rsidP="00E8506E">
      <w:pPr>
        <w:bidi/>
        <w:spacing w:line="259" w:lineRule="auto"/>
        <w:rPr>
          <w:rFonts w:asciiTheme="majorBidi" w:eastAsia="Calibri" w:hAnsiTheme="majorBidi" w:cstheme="majorBidi"/>
          <w:sz w:val="28"/>
          <w:szCs w:val="28"/>
          <w:rtl/>
        </w:rPr>
      </w:pPr>
    </w:p>
    <w:p w14:paraId="679B547B" w14:textId="77777777" w:rsidR="00E8506E" w:rsidRPr="00E8506E" w:rsidRDefault="00E8506E" w:rsidP="00E8506E">
      <w:pPr>
        <w:bidi/>
        <w:spacing w:line="259" w:lineRule="auto"/>
        <w:rPr>
          <w:rFonts w:asciiTheme="majorBidi" w:eastAsia="Calibri" w:hAnsiTheme="majorBidi" w:cstheme="majorBidi"/>
          <w:sz w:val="28"/>
          <w:szCs w:val="28"/>
          <w:rtl/>
        </w:rPr>
      </w:pPr>
    </w:p>
    <w:p w14:paraId="4D04D091" w14:textId="77777777" w:rsidR="00E8506E" w:rsidRPr="00E8506E" w:rsidRDefault="00E8506E" w:rsidP="00E8506E">
      <w:pPr>
        <w:bidi/>
        <w:spacing w:line="259" w:lineRule="auto"/>
        <w:jc w:val="both"/>
        <w:rPr>
          <w:rFonts w:asciiTheme="majorBidi" w:eastAsia="Calibri" w:hAnsiTheme="majorBidi" w:cstheme="majorBidi"/>
          <w:b/>
          <w:bCs/>
          <w:sz w:val="28"/>
          <w:szCs w:val="28"/>
          <w:lang w:val="en-GB"/>
        </w:rPr>
      </w:pPr>
      <w:r w:rsidRPr="00E8506E">
        <w:rPr>
          <w:rFonts w:asciiTheme="majorBidi" w:eastAsia="Calibri" w:hAnsiTheme="majorBidi" w:cstheme="majorBidi"/>
          <w:b/>
          <w:bCs/>
          <w:sz w:val="28"/>
          <w:szCs w:val="28"/>
          <w:rtl/>
        </w:rPr>
        <w:lastRenderedPageBreak/>
        <w:t>الخاتمة</w:t>
      </w:r>
    </w:p>
    <w:p w14:paraId="4CC23B5E"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يشكل الاعتقال الإداري، كما تمارسه سلطات الاحتلال الإسرائيلي، انتهاكاً صارخاً </w:t>
      </w:r>
      <w:proofErr w:type="spellStart"/>
      <w:r w:rsidRPr="00E8506E">
        <w:rPr>
          <w:rFonts w:asciiTheme="majorBidi" w:eastAsia="Calibri" w:hAnsiTheme="majorBidi" w:cstheme="majorBidi"/>
          <w:sz w:val="28"/>
          <w:szCs w:val="28"/>
          <w:rtl/>
        </w:rPr>
        <w:t>وممنهجاً</w:t>
      </w:r>
      <w:proofErr w:type="spellEnd"/>
      <w:r w:rsidRPr="00E8506E">
        <w:rPr>
          <w:rFonts w:asciiTheme="majorBidi" w:eastAsia="Calibri" w:hAnsiTheme="majorBidi" w:cstheme="majorBidi"/>
          <w:sz w:val="28"/>
          <w:szCs w:val="28"/>
          <w:rtl/>
        </w:rPr>
        <w:t xml:space="preserve"> للقانون الدولي، ويعد أحد أبرز أدوات القمع والاضطهاد بحق الشعب الفلسطيني. إن استمرار هذا الإجراء، في ظل صمت المجتمع الدولي، يفاقم معاناة الفلسطينيين، ويقوض فرص العدالة والسلام</w:t>
      </w:r>
      <w:r w:rsidRPr="00E8506E">
        <w:rPr>
          <w:rFonts w:asciiTheme="majorBidi" w:eastAsia="Calibri" w:hAnsiTheme="majorBidi" w:cstheme="majorBidi"/>
          <w:sz w:val="28"/>
          <w:szCs w:val="28"/>
          <w:lang w:val="en-GB"/>
        </w:rPr>
        <w:t>.</w:t>
      </w:r>
    </w:p>
    <w:p w14:paraId="526C662E"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إن إنهاء سياسة الاعتقال الإداري هو واجب قانوني وأخلاقي يقع على عاتق المجتمع الدولي، ولا بد من تحرّك عاجل وفعّال لوقف هذه الجريمة، وضمان حماية الفلسطينيين من بطش الاحتلال، وصون حقوقهم الأساسية، وفي مقدمتها الحق في الحرية والكرامة</w:t>
      </w:r>
      <w:r w:rsidRPr="00E8506E">
        <w:rPr>
          <w:rFonts w:asciiTheme="majorBidi" w:eastAsia="Calibri" w:hAnsiTheme="majorBidi" w:cstheme="majorBidi"/>
          <w:sz w:val="28"/>
          <w:szCs w:val="28"/>
          <w:lang w:val="en-GB"/>
        </w:rPr>
        <w:t>.</w:t>
      </w:r>
    </w:p>
    <w:p w14:paraId="2398D52B"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تؤكد سياسة الاعتقال الإداري التي تنتهجها سلطات الاحتلال الإسرائيلي بحق أبناء الشعب الفلسطيني أن منظومة الاحتلال لا تكتفي بمصادرة الأرض والحقوق، بل تتعمد مصادرة الحرية وتغييب العدالة باستخدام أدوات قمعية تخالف كل الأعراف والاتفاقيات الدولية. إن هذا الإجراء، الذي يُفترض أنه استثنائي ومقيّد بضوابط صارمة، تحوّل إلى وسيلة للانتقام السياسي، وتكريس السيطرة، وتصفية الحسابات مع أبناء الشعب الفلسطيني، بعيداً عن أي التزام قانوني أو إنساني</w:t>
      </w:r>
      <w:r w:rsidRPr="00E8506E">
        <w:rPr>
          <w:rFonts w:asciiTheme="majorBidi" w:eastAsia="Calibri" w:hAnsiTheme="majorBidi" w:cstheme="majorBidi"/>
          <w:sz w:val="28"/>
          <w:szCs w:val="28"/>
          <w:lang w:val="en-GB"/>
        </w:rPr>
        <w:t>.</w:t>
      </w:r>
    </w:p>
    <w:p w14:paraId="3936A006"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 xml:space="preserve">إن ما يجري في الأراضي الفلسطينية المحتلة، وبالأخص في ملف الاعتقال الإداري، لا يمكن فصله عن واقع الاحتلال الاستعماري، الذي ينتهك يومياً أبسط حقوق الفلسطينيين، ويمعن في تجاهل التزاماته القانونية الدولية. وأمام هذا المشهد الخطير، لم يعد الصمت الدولي مقبولاً، بل يعد تواطؤاً ضمنياً يساهم في استمرار معاناة الشعب الفلسطيني </w:t>
      </w:r>
      <w:proofErr w:type="spellStart"/>
      <w:r w:rsidRPr="00E8506E">
        <w:rPr>
          <w:rFonts w:asciiTheme="majorBidi" w:eastAsia="Calibri" w:hAnsiTheme="majorBidi" w:cstheme="majorBidi"/>
          <w:sz w:val="28"/>
          <w:szCs w:val="28"/>
          <w:rtl/>
        </w:rPr>
        <w:t>وشرعنة</w:t>
      </w:r>
      <w:proofErr w:type="spellEnd"/>
      <w:r w:rsidRPr="00E8506E">
        <w:rPr>
          <w:rFonts w:asciiTheme="majorBidi" w:eastAsia="Calibri" w:hAnsiTheme="majorBidi" w:cstheme="majorBidi"/>
          <w:sz w:val="28"/>
          <w:szCs w:val="28"/>
          <w:rtl/>
        </w:rPr>
        <w:t xml:space="preserve"> انتهاك حقوقه الأساسية</w:t>
      </w:r>
      <w:r w:rsidRPr="00E8506E">
        <w:rPr>
          <w:rFonts w:asciiTheme="majorBidi" w:eastAsia="Calibri" w:hAnsiTheme="majorBidi" w:cstheme="majorBidi"/>
          <w:sz w:val="28"/>
          <w:szCs w:val="28"/>
          <w:lang w:val="en-GB"/>
        </w:rPr>
        <w:t>.</w:t>
      </w:r>
    </w:p>
    <w:p w14:paraId="7FA5D201" w14:textId="77777777" w:rsidR="00E8506E" w:rsidRPr="00E8506E" w:rsidRDefault="00E8506E" w:rsidP="00E8506E">
      <w:pPr>
        <w:bidi/>
        <w:spacing w:line="259" w:lineRule="auto"/>
        <w:jc w:val="both"/>
        <w:rPr>
          <w:rFonts w:asciiTheme="majorBidi" w:eastAsia="Calibri" w:hAnsiTheme="majorBidi" w:cstheme="majorBidi"/>
          <w:sz w:val="28"/>
          <w:szCs w:val="28"/>
          <w:lang w:val="en-GB"/>
        </w:rPr>
      </w:pPr>
      <w:r w:rsidRPr="00E8506E">
        <w:rPr>
          <w:rFonts w:asciiTheme="majorBidi" w:eastAsia="Calibri" w:hAnsiTheme="majorBidi" w:cstheme="majorBidi"/>
          <w:sz w:val="28"/>
          <w:szCs w:val="28"/>
          <w:rtl/>
        </w:rPr>
        <w:t>وعليه، فإن وقف الاعتقال الإداري ومحاسبة الاحتلال على ممارساته القمعية، مسؤولية جماعية تقع على عاتق المجتمع الدولي، وهيئات الأمم المتحدة، والمحاكم الدولية، وكل أحرار العالم الذين يؤمنون بقيم الحرية والعدالة وحقوق الإنسان. إن بقاء الوضع على حاله دون تدخل حازم، لن يؤدي سوى إلى المزيد من التصعيد، وتفاقم الأوضاع، وتعميق معاناة الأسرى وعائلاتهم، وهو ما يتطلب تحركاً فورياً وفعّالاً لضمان إنهاء هذه السياسة غير القانونية، وصون كرامة وحقوق الفلسطينيين باعتبارها جزءًا لا يتجزأ من منظومة العدالة الدولية</w:t>
      </w:r>
      <w:r w:rsidRPr="00E8506E">
        <w:rPr>
          <w:rFonts w:asciiTheme="majorBidi" w:eastAsia="Calibri" w:hAnsiTheme="majorBidi" w:cstheme="majorBidi"/>
          <w:sz w:val="28"/>
          <w:szCs w:val="28"/>
          <w:lang w:val="en-GB"/>
        </w:rPr>
        <w:t>.</w:t>
      </w:r>
    </w:p>
    <w:p w14:paraId="177669AD" w14:textId="77777777" w:rsidR="00E8506E" w:rsidRPr="00E8506E" w:rsidRDefault="00E8506E" w:rsidP="00E8506E">
      <w:pPr>
        <w:bidi/>
        <w:spacing w:line="259" w:lineRule="auto"/>
        <w:rPr>
          <w:rFonts w:asciiTheme="majorBidi" w:eastAsia="Calibri" w:hAnsiTheme="majorBidi" w:cstheme="majorBidi"/>
          <w:sz w:val="28"/>
          <w:szCs w:val="28"/>
          <w:lang w:val="en-GB"/>
        </w:rPr>
      </w:pPr>
    </w:p>
    <w:p w14:paraId="77C968D5" w14:textId="5489E886" w:rsidR="0060691F" w:rsidRPr="00E8506E" w:rsidRDefault="0060691F">
      <w:pPr>
        <w:bidi/>
        <w:spacing w:line="259" w:lineRule="auto"/>
        <w:rPr>
          <w:rFonts w:asciiTheme="majorBidi" w:eastAsia="Calibri" w:hAnsiTheme="majorBidi" w:cstheme="majorBidi"/>
          <w:sz w:val="28"/>
          <w:szCs w:val="28"/>
        </w:rPr>
      </w:pPr>
    </w:p>
    <w:sectPr w:rsidR="0060691F" w:rsidRPr="00E85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51E"/>
    <w:multiLevelType w:val="multilevel"/>
    <w:tmpl w:val="DDD49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1432FD"/>
    <w:multiLevelType w:val="multilevel"/>
    <w:tmpl w:val="E7263FF4"/>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A62F65"/>
    <w:multiLevelType w:val="multilevel"/>
    <w:tmpl w:val="E7263FF4"/>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FD2318"/>
    <w:multiLevelType w:val="multilevel"/>
    <w:tmpl w:val="F4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043E5"/>
    <w:multiLevelType w:val="hybridMultilevel"/>
    <w:tmpl w:val="EF9E192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6D63B08"/>
    <w:multiLevelType w:val="multilevel"/>
    <w:tmpl w:val="A426C0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B10A00"/>
    <w:multiLevelType w:val="multilevel"/>
    <w:tmpl w:val="E7263FF4"/>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D7C36EB"/>
    <w:multiLevelType w:val="multilevel"/>
    <w:tmpl w:val="E7263FF4"/>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9734093"/>
    <w:multiLevelType w:val="multilevel"/>
    <w:tmpl w:val="F5B844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416572">
    <w:abstractNumId w:val="8"/>
  </w:num>
  <w:num w:numId="2" w16cid:durableId="2057316489">
    <w:abstractNumId w:val="0"/>
  </w:num>
  <w:num w:numId="3" w16cid:durableId="2008942640">
    <w:abstractNumId w:val="3"/>
  </w:num>
  <w:num w:numId="4" w16cid:durableId="1448235656">
    <w:abstractNumId w:val="5"/>
  </w:num>
  <w:num w:numId="5" w16cid:durableId="762917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154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823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1371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862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691F"/>
    <w:rsid w:val="0060691F"/>
    <w:rsid w:val="00BC67ED"/>
    <w:rsid w:val="00E85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DEC6"/>
  <w15:docId w15:val="{87C11E03-C030-4CFF-BD4A-CFC96211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77767">
      <w:bodyDiv w:val="1"/>
      <w:marLeft w:val="0"/>
      <w:marRight w:val="0"/>
      <w:marTop w:val="0"/>
      <w:marBottom w:val="0"/>
      <w:divBdr>
        <w:top w:val="none" w:sz="0" w:space="0" w:color="auto"/>
        <w:left w:val="none" w:sz="0" w:space="0" w:color="auto"/>
        <w:bottom w:val="none" w:sz="0" w:space="0" w:color="auto"/>
        <w:right w:val="none" w:sz="0" w:space="0" w:color="auto"/>
      </w:divBdr>
    </w:div>
    <w:div w:id="1109472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file:///C:\Users\lenovo\Desktop\&#1608;&#1585;&#1602;&#1577;%20&#1605;&#1608;&#1602;&#1601;%20&#1581;&#1608;&#1604;%20&#1575;&#1604;&#1575;&#1593;&#1578;&#1602;&#1575;&#1604;%20&#1575;&#1604;&#1573;&#1583;&#1575;&#1585;&#1610;%20&#1608;&#1593;&#1583;&#1605;%20&#1602;&#1575;&#1606;&#1608;&#1606;&#1610;&#1578;&#1607;%20&#1601;&#1610;%20&#1575;&#1604;&#1602;&#1575;&#1606;&#1608;&#1606;%20&#1575;&#1604;&#1583;&#1608;&#1604;&#1610;%20&#8207;1-7-2025%20&#1610;&#1575;%20&#1575;&#1604;&#1604;&#1607;\8eefc176-4858-4a50-a931-f3108e355775.pn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lenovo\Desktop\&#1588;&#1593;&#1575;&#1585;%20&#1588;&#1605;&#1587;\NEW-LOGO%20-SHAMS.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2490</Words>
  <Characters>14194</Characters>
  <Application>Microsoft Office Word</Application>
  <DocSecurity>0</DocSecurity>
  <Lines>118</Lines>
  <Paragraphs>33</Paragraphs>
  <ScaleCrop>false</ScaleCrop>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Omar Rahal</cp:lastModifiedBy>
  <cp:revision>2</cp:revision>
  <dcterms:created xsi:type="dcterms:W3CDTF">2025-07-01T10:09:00Z</dcterms:created>
  <dcterms:modified xsi:type="dcterms:W3CDTF">2025-07-01T10:12:00Z</dcterms:modified>
</cp:coreProperties>
</file>